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HERSHBERG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ATAI LIFE SCIENCES US,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INDUSTRIOUS NYC, 250 WEST 34TH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AtaiBeckley Inc.</w:t>
              </w:r>
            </w:hyperlink>
            <w:r>
              <w:rPr/>
              <w:t xml:space="preserve"> [ </w:t>
            </w:r>
            <w:r>
              <w:rPr>
                <w:rFonts w:ascii="Times;serif" w:hAnsi="Times;serif"/>
                <w:color w:val="0000FF"/>
                <w:sz w:val="24"/>
                <w:shd w:fill="FFFFFF" w:val="clear"/>
              </w:rPr>
              <w:t>ATAI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12"/>
        <w:gridCol w:w="451"/>
        <w:gridCol w:w="709"/>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48,858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48,858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51,142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48,858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48,858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404,869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exercises and sales reported in this Form 4 were effected pursuant to a Rule 10b5-1 trading plan adopted by the Reporting Person on April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securities were sold in multiple transactions at per share prices ranging from $4.90 to $5.08.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Barrett,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74139" TargetMode="External"/><Relationship Id="rId5" Type="http://schemas.openxmlformats.org/officeDocument/2006/relationships/hyperlink" Target="http://www.sec.gov/cgi-bin/browse-edgar?action=getcompany&amp;CIK=00020810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3801</Characters>
  <CharactersWithSpaces>4425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