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Atai Beckley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52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001-40493</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2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2460" w:type="dxa"/>
            <w:vAlign w:val="bottom"/>
          </w:tcPr>
          <w:p>
            <w:pPr>
              <w:spacing w:after="0"/>
              <w:rPr>
                <w:sz w:val="24"/>
                <w:szCs w:val="24"/>
                <w:color w:val="auto"/>
              </w:rPr>
            </w:pPr>
          </w:p>
        </w:tc>
        <w:tc>
          <w:tcPr>
            <w:tcW w:w="5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Prof. J.H. Bavincklaan 7</w:t>
            </w:r>
          </w:p>
        </w:tc>
        <w:tc>
          <w:tcPr>
            <w:tcW w:w="176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5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1183 AT Amstelveen</w:t>
            </w:r>
          </w:p>
        </w:tc>
        <w:tc>
          <w:tcPr>
            <w:tcW w:w="176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5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176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5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410"/>
        </w:trPr>
        <w:tc>
          <w:tcPr>
            <w:tcW w:w="2460" w:type="dxa"/>
            <w:vAlign w:val="bottom"/>
          </w:tcPr>
          <w:p>
            <w:pPr>
              <w:spacing w:after="0"/>
              <w:rPr>
                <w:sz w:val="24"/>
                <w:szCs w:val="24"/>
                <w:color w:val="auto"/>
              </w:rPr>
            </w:pPr>
          </w:p>
        </w:tc>
        <w:tc>
          <w:tcPr>
            <w:tcW w:w="5200" w:type="dxa"/>
            <w:vAlign w:val="bottom"/>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+31 20 793 2536</w:t>
            </w:r>
          </w:p>
        </w:tc>
        <w:tc>
          <w:tcPr>
            <w:tcW w:w="1760" w:type="dxa"/>
            <w:vAlign w:val="bottom"/>
          </w:tcPr>
          <w:p>
            <w:pPr>
              <w:spacing w:after="0"/>
              <w:rPr>
                <w:sz w:val="24"/>
                <w:szCs w:val="24"/>
                <w:color w:val="auto"/>
              </w:rPr>
            </w:pPr>
          </w:p>
        </w:tc>
      </w:tr>
      <w:tr>
        <w:trPr>
          <w:trHeight w:val="238"/>
        </w:trPr>
        <w:tc>
          <w:tcPr>
            <w:tcW w:w="2460" w:type="dxa"/>
            <w:vAlign w:val="bottom"/>
          </w:tcPr>
          <w:p>
            <w:pPr>
              <w:spacing w:after="0"/>
              <w:rPr>
                <w:sz w:val="20"/>
                <w:szCs w:val="20"/>
                <w:color w:val="auto"/>
              </w:rPr>
            </w:pPr>
          </w:p>
        </w:tc>
        <w:tc>
          <w:tcPr>
            <w:tcW w:w="5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410"/>
        </w:trPr>
        <w:tc>
          <w:tcPr>
            <w:tcW w:w="2460" w:type="dxa"/>
            <w:vAlign w:val="bottom"/>
          </w:tcPr>
          <w:p>
            <w:pPr>
              <w:spacing w:after="0"/>
              <w:rPr>
                <w:sz w:val="24"/>
                <w:szCs w:val="24"/>
                <w:color w:val="auto"/>
              </w:rPr>
            </w:pPr>
          </w:p>
        </w:tc>
        <w:tc>
          <w:tcPr>
            <w:tcW w:w="5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460" w:type="dxa"/>
            <w:vAlign w:val="bottom"/>
          </w:tcPr>
          <w:p>
            <w:pPr>
              <w:spacing w:after="0"/>
              <w:rPr>
                <w:sz w:val="20"/>
                <w:szCs w:val="20"/>
                <w:color w:val="auto"/>
              </w:rPr>
            </w:pPr>
          </w:p>
        </w:tc>
        <w:tc>
          <w:tcPr>
            <w:tcW w:w="5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5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shares, €0.10 par value per share</w:t>
            </w:r>
          </w:p>
        </w:tc>
        <w:tc>
          <w:tcPr>
            <w:tcW w:w="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3"/>
              </w:rPr>
              <w:t>ATAI</w:t>
            </w:r>
          </w:p>
        </w:tc>
        <w:tc>
          <w:tcPr>
            <w:tcW w:w="60" w:type="dxa"/>
            <w:vAlign w:val="bottom"/>
          </w:tcPr>
          <w:p>
            <w:pPr>
              <w:spacing w:after="0"/>
              <w:rPr>
                <w:sz w:val="16"/>
                <w:szCs w:val="16"/>
                <w:color w:val="auto"/>
              </w:rPr>
            </w:pPr>
          </w:p>
        </w:tc>
        <w:tc>
          <w:tcPr>
            <w:tcW w:w="43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919" w:gutter="0" w:footer="0" w:header="0"/>
        </w:sectPr>
      </w:pPr>
    </w:p>
    <w:bookmarkStart w:id="1" w:name="page2"/>
    <w:bookmarkEnd w:id="1"/>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5, 2025, Atai Beckley N.V. (the “Company”) filed with the Securities and Exchange Commission (the “SEC”) a prospectus supplement relating to the common shares as defined therein, already issued and outstanding and being registered to satisfy certain contractual rights as described therein and in the registration rights agreement entered into in connection with the completed acquisition of Beckley Psytech Limited, to the prospectus included in the Company’s registration statement on Form S-3ASR (File No. 333-290592), filed with the SEC on September 29, 2025 (the “Registration Statement”).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legal opinion of NautaDutilh N.V. relating to the validity of the common shares is filed herewith as Exhibit 5.1 and is incorporated herein by reference, and is filed with reference to, and is hereby incorporated by reference into, the Registration Statement.</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0"/>
        <w:spacing w:after="0"/>
        <w:tabs>
          <w:tab w:leader="none" w:pos="98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225" w:lineRule="exact"/>
        <w:rPr>
          <w:sz w:val="20"/>
          <w:szCs w:val="20"/>
          <w:color w:val="auto"/>
        </w:rPr>
      </w:pPr>
    </w:p>
    <w:p>
      <w:pPr>
        <w:ind w:left="36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NautaDutilh N.V.</w:t>
      </w:r>
    </w:p>
    <w:p>
      <w:pPr>
        <w:spacing w:after="0" w:line="225" w:lineRule="exact"/>
        <w:rPr>
          <w:sz w:val="20"/>
          <w:szCs w:val="20"/>
          <w:color w:val="auto"/>
        </w:rPr>
      </w:pPr>
    </w:p>
    <w:p>
      <w:pPr>
        <w:ind w:left="32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NautaDutilh N.V. (included in Exhibit 5.1).</w:t>
      </w:r>
    </w:p>
    <w:p>
      <w:pPr>
        <w:spacing w:after="0" w:line="225" w:lineRule="exact"/>
        <w:rPr>
          <w:sz w:val="20"/>
          <w:szCs w:val="20"/>
          <w:color w:val="auto"/>
        </w:rPr>
      </w:pPr>
    </w:p>
    <w:p>
      <w:pPr>
        <w:ind w:left="340"/>
        <w:spacing w:after="0"/>
        <w:tabs>
          <w:tab w:leader="none" w:pos="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ATAI BECKLEY N.V.</w:t>
      </w:r>
    </w:p>
    <w:p>
      <w:pPr>
        <w:spacing w:after="0" w:line="229" w:lineRule="exact"/>
        <w:rPr>
          <w:sz w:val="20"/>
          <w:szCs w:val="20"/>
          <w:color w:val="auto"/>
        </w:rPr>
      </w:pPr>
    </w:p>
    <w:p>
      <w:pPr>
        <w:spacing w:after="0"/>
        <w:tabs>
          <w:tab w:leader="none" w:pos="5640" w:val="left"/>
          <w:tab w:leader="none" w:pos="636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Srinivas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2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Srinivas Rao</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06374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34290"/>
                    </a:xfrm>
                    <a:prstGeom prst="rect">
                      <a:avLst/>
                    </a:prstGeom>
                    <a:noFill/>
                  </pic:spPr>
                </pic:pic>
              </a:graphicData>
            </a:graphic>
          </wp:anchor>
        </w:drawing>
        <w:t>Exhibit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ATTORNEYS • CIVIL LAW NOTARIES •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-86995</wp:posOffset>
            </wp:positionV>
            <wp:extent cx="1285875"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 Box 7113</w:t>
      </w:r>
    </w:p>
    <w:p>
      <w:pPr>
        <w:spacing w:after="0" w:line="26"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1007 JC Amsterdam</w:t>
      </w:r>
      <w:r>
        <w:rPr>
          <w:sz w:val="20"/>
          <w:szCs w:val="20"/>
          <w:color w:val="auto"/>
        </w:rPr>
        <w:tab/>
      </w:r>
      <w:r>
        <w:rPr>
          <w:rFonts w:ascii="Times New Roman" w:cs="Times New Roman" w:eastAsia="Times New Roman" w:hAnsi="Times New Roman"/>
          <w:sz w:val="16"/>
          <w:szCs w:val="16"/>
          <w:color w:val="auto"/>
        </w:rPr>
        <w:t>Amsterdam, December 5,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Beethovenstraat 400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1082 PR Amsterdam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 +31 20 71 71 000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 +31 20 71 71 111</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jc w:val="both"/>
        <w:ind w:left="360"/>
        <w:spacing w:after="0" w:line="266" w:lineRule="auto"/>
        <w:rPr>
          <w:sz w:val="20"/>
          <w:szCs w:val="20"/>
          <w:color w:val="auto"/>
        </w:rPr>
      </w:pPr>
      <w:r>
        <w:rPr>
          <w:rFonts w:ascii="Times New Roman" w:cs="Times New Roman" w:eastAsia="Times New Roman" w:hAnsi="Times New Roman"/>
          <w:sz w:val="18"/>
          <w:szCs w:val="18"/>
          <w:color w:val="auto"/>
        </w:rPr>
        <w:t>We have acted as legal counsel as to Dutch law to the Company in connection with the filing of the Prospectus Supplement with the SEC. This opinion letter is rendered to you in order to be filed with the SEC as an exhibit to the Company’s Current Report on Form 8-K to be filed with the SEC in connection with the Prospectus Supplement.</w:t>
      </w:r>
    </w:p>
    <w:p>
      <w:pPr>
        <w:spacing w:after="0" w:line="176" w:lineRule="exact"/>
        <w:rPr>
          <w:sz w:val="20"/>
          <w:szCs w:val="20"/>
          <w:color w:val="auto"/>
        </w:rPr>
      </w:pPr>
    </w:p>
    <w:p>
      <w:pPr>
        <w:jc w:val="both"/>
        <w:ind w:left="360" w:right="20"/>
        <w:spacing w:after="0" w:line="282" w:lineRule="auto"/>
        <w:rPr>
          <w:sz w:val="20"/>
          <w:szCs w:val="20"/>
          <w:color w:val="auto"/>
        </w:rPr>
      </w:pPr>
      <w:r>
        <w:rPr>
          <w:rFonts w:ascii="Times New Roman" w:cs="Times New Roman" w:eastAsia="Times New Roman" w:hAnsi="Times New Roman"/>
          <w:sz w:val="18"/>
          <w:szCs w:val="18"/>
          <w:color w:val="auto"/>
        </w:rPr>
        <w:t>Capitalised terms used in this opinion letter have the meanings set forth in Exhibit A to this opinion letter. The headings used in this opinion letter are for convenience of reference only and are not to affect its construction or to be taken into consideration in its interpretation.</w:t>
      </w:r>
    </w:p>
    <w:p>
      <w:pPr>
        <w:spacing w:after="0" w:line="162" w:lineRule="exact"/>
        <w:rPr>
          <w:sz w:val="20"/>
          <w:szCs w:val="20"/>
          <w:color w:val="auto"/>
        </w:rPr>
      </w:pPr>
    </w:p>
    <w:p>
      <w:pPr>
        <w:jc w:val="both"/>
        <w:ind w:left="360"/>
        <w:spacing w:after="0" w:line="266" w:lineRule="auto"/>
        <w:rPr>
          <w:sz w:val="20"/>
          <w:szCs w:val="20"/>
          <w:color w:val="auto"/>
        </w:rPr>
      </w:pPr>
      <w:r>
        <w:rPr>
          <w:rFonts w:ascii="Times New Roman" w:cs="Times New Roman" w:eastAsia="Times New Roman" w:hAnsi="Times New Roman"/>
          <w:sz w:val="18"/>
          <w:szCs w:val="18"/>
          <w:color w:val="auto"/>
        </w:rPr>
        <w:t>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w:t>
      </w:r>
    </w:p>
    <w:p>
      <w:pPr>
        <w:spacing w:after="0" w:line="176" w:lineRule="exact"/>
        <w:rPr>
          <w:sz w:val="20"/>
          <w:szCs w:val="20"/>
          <w:color w:val="auto"/>
        </w:rPr>
      </w:pPr>
    </w:p>
    <w:p>
      <w:pPr>
        <w:jc w:val="both"/>
        <w:ind w:left="360" w:right="160"/>
        <w:spacing w:after="0" w:line="289" w:lineRule="auto"/>
        <w:rPr>
          <w:sz w:val="20"/>
          <w:szCs w:val="20"/>
          <w:color w:val="auto"/>
        </w:rPr>
      </w:pPr>
      <w:r>
        <w:rPr>
          <w:rFonts w:ascii="Times New Roman" w:cs="Times New Roman" w:eastAsia="Times New Roman" w:hAnsi="Times New Roman"/>
          <w:sz w:val="17"/>
          <w:szCs w:val="17"/>
          <w:color w:val="auto"/>
        </w:rPr>
        <w:t>In rendering the opinions expressed in this opinion letter, we have reviewed and relied upon a draft of the Prospectus Supplement and pdf copies of the Corporate Documents and each Deed of Issue and we have assumed that any issuance of Registered Shares has been or shall be, as applicable, effected for bona fide commercial reasons. We have not investigated or verified any factual matter disclosed to us in the course of our review.</w:t>
      </w:r>
    </w:p>
    <w:p>
      <w:pPr>
        <w:spacing w:after="0" w:line="162" w:lineRule="exact"/>
        <w:rPr>
          <w:sz w:val="20"/>
          <w:szCs w:val="20"/>
          <w:color w:val="auto"/>
        </w:rPr>
      </w:pPr>
    </w:p>
    <w:p>
      <w:pPr>
        <w:jc w:val="both"/>
        <w:ind w:left="360"/>
        <w:spacing w:after="0" w:line="281" w:lineRule="auto"/>
        <w:rPr>
          <w:sz w:val="20"/>
          <w:szCs w:val="20"/>
          <w:color w:val="auto"/>
        </w:rPr>
      </w:pPr>
      <w:r>
        <w:rPr>
          <w:rFonts w:ascii="Times New Roman" w:cs="Times New Roman" w:eastAsia="Times New Roman" w:hAnsi="Times New Roman"/>
          <w:sz w:val="16"/>
          <w:szCs w:val="16"/>
          <w:color w:val="auto"/>
        </w:rPr>
        <w:t>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95885</wp:posOffset>
            </wp:positionV>
            <wp:extent cx="68319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1">
            <w:col w:w="11120"/>
          </w:cols>
          <w:pgMar w:left="440" w:top="26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t>2</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Registration Statement, the Prospectus Supplement, the Corporate Documents or any Deed of Issue subsequent to the date of this opinion letter.</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letter, we have assumed that:</w:t>
      </w:r>
    </w:p>
    <w:p>
      <w:pPr>
        <w:spacing w:after="0" w:line="225" w:lineRule="exact"/>
        <w:rPr>
          <w:sz w:val="20"/>
          <w:szCs w:val="20"/>
          <w:color w:val="auto"/>
        </w:rPr>
      </w:pPr>
    </w:p>
    <w:p>
      <w:pPr>
        <w:ind w:left="640" w:right="20" w:hanging="640"/>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copy of a document conforms to the original, each original is authentic, and each signature is the genuine signature of the individual purported to have placed that signature;</w:t>
      </w:r>
    </w:p>
    <w:p>
      <w:pPr>
        <w:spacing w:after="0" w:line="161" w:lineRule="exact"/>
        <w:rPr>
          <w:rFonts w:ascii="Times New Roman" w:cs="Times New Roman" w:eastAsia="Times New Roman" w:hAnsi="Times New Roman"/>
          <w:sz w:val="18"/>
          <w:szCs w:val="18"/>
          <w:color w:val="auto"/>
        </w:rPr>
      </w:pPr>
    </w:p>
    <w:p>
      <w:pPr>
        <w:jc w:val="both"/>
        <w:ind w:left="640" w:hanging="640"/>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signature under any document is an electronic signature (as opposed to a handwritten (“wet ink”) signature) only, it is either a qualified electronic signature within the meaning of the eIDAS Regulation, or the method used for signing is otherwise sufficiently reliable;</w:t>
      </w:r>
    </w:p>
    <w:p>
      <w:pPr>
        <w:spacing w:after="0" w:line="161" w:lineRule="exact"/>
        <w:rPr>
          <w:rFonts w:ascii="Times New Roman" w:cs="Times New Roman" w:eastAsia="Times New Roman" w:hAnsi="Times New Roman"/>
          <w:sz w:val="18"/>
          <w:szCs w:val="18"/>
          <w:color w:val="auto"/>
        </w:rPr>
      </w:pPr>
    </w:p>
    <w:p>
      <w:pPr>
        <w:ind w:left="640" w:hanging="640"/>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declared effective by the SEC in the form reviewed by us and the Prospectus Supplement has been filed with the SEC in the form reviewed by us;</w:t>
      </w:r>
    </w:p>
    <w:p>
      <w:pPr>
        <w:spacing w:after="0" w:line="161" w:lineRule="exact"/>
        <w:rPr>
          <w:rFonts w:ascii="Times New Roman" w:cs="Times New Roman" w:eastAsia="Times New Roman" w:hAnsi="Times New Roman"/>
          <w:sz w:val="18"/>
          <w:szCs w:val="18"/>
          <w:color w:val="auto"/>
        </w:rPr>
      </w:pPr>
    </w:p>
    <w:p>
      <w:pPr>
        <w:jc w:val="both"/>
        <w:ind w:left="640" w:hanging="640"/>
        <w:spacing w:after="0" w:line="25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after the execution of the Deed of Conversion, (i) Ordinary Shares have been or shall have been, as applicable,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or shall have been, as applicable, admitted to trading on a regulated market, multilateral trading facility or organised trading facility operating in the European Economic Area (and no request for admission of any such financial instruments to trading on any such trading venue has been or shall have been, as applicable,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8319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1">
            <w:col w:w="10760"/>
          </w:cols>
          <w:pgMar w:left="800" w:top="47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t>3</w:t>
      </w:r>
    </w:p>
    <w:p>
      <w:pPr>
        <w:spacing w:after="0" w:line="230" w:lineRule="exact"/>
        <w:rPr>
          <w:sz w:val="20"/>
          <w:szCs w:val="20"/>
          <w:color w:val="auto"/>
        </w:rPr>
      </w:pPr>
    </w:p>
    <w:p>
      <w:pPr>
        <w:ind w:left="640" w:hanging="64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Deeds is a valid notarial deed;</w:t>
      </w:r>
    </w:p>
    <w:p>
      <w:pPr>
        <w:spacing w:after="0" w:line="223" w:lineRule="exact"/>
        <w:rPr>
          <w:rFonts w:ascii="Times New Roman" w:cs="Times New Roman" w:eastAsia="Times New Roman" w:hAnsi="Times New Roman"/>
          <w:sz w:val="18"/>
          <w:szCs w:val="18"/>
          <w:color w:val="auto"/>
        </w:rPr>
      </w:pPr>
    </w:p>
    <w:p>
      <w:pPr>
        <w:ind w:left="640" w:hanging="640"/>
        <w:spacing w:after="0" w:line="28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authorised share capital (</w:t>
      </w:r>
      <w:r>
        <w:rPr>
          <w:rFonts w:ascii="Times New Roman" w:cs="Times New Roman" w:eastAsia="Times New Roman" w:hAnsi="Times New Roman"/>
          <w:sz w:val="18"/>
          <w:szCs w:val="18"/>
          <w:i w:val="1"/>
          <w:iCs w:val="1"/>
          <w:color w:val="auto"/>
        </w:rPr>
        <w:t>maatschappelijk kapitaal</w:t>
      </w:r>
      <w:r>
        <w:rPr>
          <w:rFonts w:ascii="Times New Roman" w:cs="Times New Roman" w:eastAsia="Times New Roman" w:hAnsi="Times New Roman"/>
          <w:sz w:val="18"/>
          <w:szCs w:val="18"/>
          <w:color w:val="auto"/>
        </w:rPr>
        <w:t>) of the Company and the Articles of Association in effect at that time allowed or shall allow, as applicable, the issuance of the relevant Options or Registered Shares, as applicable;</w:t>
      </w:r>
    </w:p>
    <w:p>
      <w:pPr>
        <w:spacing w:after="0" w:line="160" w:lineRule="exact"/>
        <w:rPr>
          <w:rFonts w:ascii="Times New Roman" w:cs="Times New Roman" w:eastAsia="Times New Roman" w:hAnsi="Times New Roman"/>
          <w:sz w:val="18"/>
          <w:szCs w:val="18"/>
          <w:color w:val="auto"/>
        </w:rPr>
      </w:pPr>
    </w:p>
    <w:p>
      <w:pPr>
        <w:jc w:val="both"/>
        <w:ind w:left="640" w:hanging="640"/>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execution of the Deed of Stock Split, each shareholder of the Company at that time held a number of ordinary shares in the Company’s capital, having a nominal value of EUR 0.16 each, that, when multiplied by the stock split factor of 1.6, resulted in a whole number of Ordinary Shares held by such respective shareholders;</w:t>
      </w:r>
    </w:p>
    <w:p>
      <w:pPr>
        <w:spacing w:after="0" w:line="173" w:lineRule="exact"/>
        <w:rPr>
          <w:rFonts w:ascii="Times New Roman" w:cs="Times New Roman" w:eastAsia="Times New Roman" w:hAnsi="Times New Roman"/>
          <w:sz w:val="18"/>
          <w:szCs w:val="18"/>
          <w:color w:val="auto"/>
        </w:rPr>
      </w:pPr>
    </w:p>
    <w:p>
      <w:pPr>
        <w:jc w:val="both"/>
        <w:ind w:left="640" w:hanging="640"/>
        <w:spacing w:after="0" w:line="25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Company had not, and shall not have, as applicable (i) been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(ii) ceased to exist pursuant to a merger (</w:t>
      </w:r>
      <w:r>
        <w:rPr>
          <w:rFonts w:ascii="Times New Roman" w:cs="Times New Roman" w:eastAsia="Times New Roman" w:hAnsi="Times New Roman"/>
          <w:sz w:val="18"/>
          <w:szCs w:val="18"/>
          <w:i w:val="1"/>
          <w:iCs w:val="1"/>
          <w:color w:val="auto"/>
        </w:rPr>
        <w:t>fusie</w:t>
      </w:r>
      <w:r>
        <w:rPr>
          <w:rFonts w:ascii="Times New Roman" w:cs="Times New Roman" w:eastAsia="Times New Roman" w:hAnsi="Times New Roman"/>
          <w:sz w:val="18"/>
          <w:szCs w:val="18"/>
          <w:color w:val="auto"/>
        </w:rPr>
        <w:t>) or a division (</w:t>
      </w:r>
      <w:r>
        <w:rPr>
          <w:rFonts w:ascii="Times New Roman" w:cs="Times New Roman" w:eastAsia="Times New Roman" w:hAnsi="Times New Roman"/>
          <w:sz w:val="18"/>
          <w:szCs w:val="18"/>
          <w:i w:val="1"/>
          <w:iCs w:val="1"/>
          <w:color w:val="auto"/>
        </w:rPr>
        <w:t>splitsing</w:t>
      </w:r>
      <w:r>
        <w:rPr>
          <w:rFonts w:ascii="Times New Roman" w:cs="Times New Roman" w:eastAsia="Times New Roman" w:hAnsi="Times New Roman"/>
          <w:sz w:val="18"/>
          <w:szCs w:val="18"/>
          <w:color w:val="auto"/>
        </w:rPr>
        <w:t>), (iii) been converted (</w:t>
      </w:r>
      <w:r>
        <w:rPr>
          <w:rFonts w:ascii="Times New Roman" w:cs="Times New Roman" w:eastAsia="Times New Roman" w:hAnsi="Times New Roman"/>
          <w:sz w:val="18"/>
          <w:szCs w:val="18"/>
          <w:i w:val="1"/>
          <w:iCs w:val="1"/>
          <w:color w:val="auto"/>
        </w:rPr>
        <w:t>omgezet</w:t>
      </w:r>
      <w:r>
        <w:rPr>
          <w:rFonts w:ascii="Times New Roman" w:cs="Times New Roman" w:eastAsia="Times New Roman" w:hAnsi="Times New Roman"/>
          <w:sz w:val="18"/>
          <w:szCs w:val="18"/>
          <w:color w:val="auto"/>
        </w:rPr>
        <w:t>) into another legal form, either national or foreign (except pursuant to the Deed of Conversion), (iv) had its assets placed under administration (</w:t>
      </w:r>
      <w:r>
        <w:rPr>
          <w:rFonts w:ascii="Times New Roman" w:cs="Times New Roman" w:eastAsia="Times New Roman" w:hAnsi="Times New Roman"/>
          <w:sz w:val="18"/>
          <w:szCs w:val="18"/>
          <w:i w:val="1"/>
          <w:iCs w:val="1"/>
          <w:color w:val="auto"/>
        </w:rPr>
        <w:t>onder bewind gesteld</w:t>
      </w:r>
      <w:r>
        <w:rPr>
          <w:rFonts w:ascii="Times New Roman" w:cs="Times New Roman" w:eastAsia="Times New Roman" w:hAnsi="Times New Roman"/>
          <w:sz w:val="18"/>
          <w:szCs w:val="18"/>
          <w:color w:val="auto"/>
        </w:rPr>
        <w:t>), (v) been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(vi) been granted a suspension of payments (</w:t>
      </w:r>
      <w:r>
        <w:rPr>
          <w:rFonts w:ascii="Times New Roman" w:cs="Times New Roman" w:eastAsia="Times New Roman" w:hAnsi="Times New Roman"/>
          <w:sz w:val="18"/>
          <w:szCs w:val="18"/>
          <w:i w:val="1"/>
          <w:iCs w:val="1"/>
          <w:color w:val="auto"/>
        </w:rPr>
        <w:t>surseance van betaling verleend</w:t>
      </w:r>
      <w:r>
        <w:rPr>
          <w:rFonts w:ascii="Times New Roman" w:cs="Times New Roman" w:eastAsia="Times New Roman" w:hAnsi="Times New Roman"/>
          <w:sz w:val="18"/>
          <w:szCs w:val="18"/>
          <w:color w:val="auto"/>
        </w:rPr>
        <w:t>), (vii) started or become subject to statutory proceedings for the restructuring of its debts (</w:t>
      </w:r>
      <w:r>
        <w:rPr>
          <w:rFonts w:ascii="Times New Roman" w:cs="Times New Roman" w:eastAsia="Times New Roman" w:hAnsi="Times New Roman"/>
          <w:sz w:val="18"/>
          <w:szCs w:val="18"/>
          <w:i w:val="1"/>
          <w:iCs w:val="1"/>
          <w:color w:val="auto"/>
        </w:rPr>
        <w:t>akkoordprocedure</w:t>
      </w:r>
      <w:r>
        <w:rPr>
          <w:rFonts w:ascii="Times New Roman" w:cs="Times New Roman" w:eastAsia="Times New Roman" w:hAnsi="Times New Roman"/>
          <w:sz w:val="18"/>
          <w:szCs w:val="18"/>
          <w:color w:val="auto"/>
        </w:rPr>
        <w:t>) or (viii) been made subject to similar proceedings in any jurisdiction or otherwise been limited in its power to dispose of its assets;</w:t>
      </w:r>
    </w:p>
    <w:p>
      <w:pPr>
        <w:spacing w:after="0" w:line="184" w:lineRule="exact"/>
        <w:rPr>
          <w:rFonts w:ascii="Times New Roman" w:cs="Times New Roman" w:eastAsia="Times New Roman" w:hAnsi="Times New Roman"/>
          <w:sz w:val="18"/>
          <w:szCs w:val="18"/>
          <w:color w:val="auto"/>
        </w:rPr>
      </w:pPr>
    </w:p>
    <w:p>
      <w:pPr>
        <w:jc w:val="both"/>
        <w:ind w:left="640" w:hanging="640"/>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Registered Shares have been issued, any pre-emption rights in connection therewith have been excluded, and the Deed of Conversion, the Deed of Stock Split and the Deed of Amendment have each been executed, pursuant to the requisite resolutions validly passed by the corporate body or bodies (</w:t>
      </w:r>
      <w:r>
        <w:rPr>
          <w:rFonts w:ascii="Times New Roman" w:cs="Times New Roman" w:eastAsia="Times New Roman" w:hAnsi="Times New Roman"/>
          <w:sz w:val="18"/>
          <w:szCs w:val="18"/>
          <w:i w:val="1"/>
          <w:iCs w:val="1"/>
          <w:color w:val="auto"/>
        </w:rPr>
        <w:t>organen</w:t>
      </w:r>
      <w:r>
        <w:rPr>
          <w:rFonts w:ascii="Times New Roman" w:cs="Times New Roman" w:eastAsia="Times New Roman" w:hAnsi="Times New Roman"/>
          <w:sz w:val="18"/>
          <w:szCs w:val="18"/>
          <w:color w:val="auto"/>
        </w:rPr>
        <w:t>) of the Company duly authorized to do so and in accordance with the Articles of Association and internal rules (</w:t>
      </w:r>
      <w:r>
        <w:rPr>
          <w:rFonts w:ascii="Times New Roman" w:cs="Times New Roman" w:eastAsia="Times New Roman" w:hAnsi="Times New Roman"/>
          <w:sz w:val="18"/>
          <w:szCs w:val="18"/>
          <w:i w:val="1"/>
          <w:iCs w:val="1"/>
          <w:color w:val="auto"/>
        </w:rPr>
        <w:t>reglementen</w:t>
      </w:r>
      <w:r>
        <w:rPr>
          <w:rFonts w:ascii="Times New Roman" w:cs="Times New Roman" w:eastAsia="Times New Roman" w:hAnsi="Times New Roman"/>
          <w:sz w:val="18"/>
          <w:szCs w:val="18"/>
          <w:color w:val="auto"/>
        </w:rPr>
        <w:t>) of the Company in effect that that time;</w:t>
      </w:r>
    </w:p>
    <w:p>
      <w:pPr>
        <w:spacing w:after="0" w:line="177" w:lineRule="exact"/>
        <w:rPr>
          <w:rFonts w:ascii="Times New Roman" w:cs="Times New Roman" w:eastAsia="Times New Roman" w:hAnsi="Times New Roman"/>
          <w:sz w:val="18"/>
          <w:szCs w:val="18"/>
          <w:color w:val="auto"/>
        </w:rPr>
      </w:pPr>
    </w:p>
    <w:p>
      <w:pPr>
        <w:jc w:val="both"/>
        <w:ind w:left="640" w:hanging="640"/>
        <w:spacing w:after="0" w:line="258"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contribution in kind (</w:t>
      </w:r>
      <w:r>
        <w:rPr>
          <w:rFonts w:ascii="Times New Roman" w:cs="Times New Roman" w:eastAsia="Times New Roman" w:hAnsi="Times New Roman"/>
          <w:sz w:val="18"/>
          <w:szCs w:val="18"/>
          <w:i w:val="1"/>
          <w:iCs w:val="1"/>
          <w:color w:val="auto"/>
        </w:rPr>
        <w:t>inbreng anders dan in geld</w:t>
      </w:r>
      <w:r>
        <w:rPr>
          <w:rFonts w:ascii="Times New Roman" w:cs="Times New Roman" w:eastAsia="Times New Roman" w:hAnsi="Times New Roman"/>
          <w:sz w:val="18"/>
          <w:szCs w:val="18"/>
          <w:color w:val="auto"/>
        </w:rPr>
        <w:t>) on the Registered Shares issued pursuant to the Deed of Issue of Pre-IPO Shares has been validly contributed and transferred to, and has been validly accepted by, the Company in satisfaction of the obligation to pay up such Registered Shares in full in accordance with applicable law, (ii) any formalities stipulated by applicable law in respect of any such contribution have been complied with and (iii) the value of any such contribution in kind on such Registered Shares was sufficient to pay up such Registered Shares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8319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1">
            <w:col w:w="10760"/>
          </w:cols>
          <w:pgMar w:left="800" w:top="47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t>4</w:t>
      </w:r>
    </w:p>
    <w:p>
      <w:pPr>
        <w:spacing w:after="0" w:line="228" w:lineRule="exact"/>
        <w:rPr>
          <w:sz w:val="20"/>
          <w:szCs w:val="20"/>
          <w:color w:val="auto"/>
        </w:rPr>
      </w:pPr>
    </w:p>
    <w:p>
      <w:pPr>
        <w:jc w:val="both"/>
        <w:ind w:left="640" w:hanging="640"/>
        <w:spacing w:after="0" w:line="26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was sufficient to allow for the aggregate payment obligation on the Registered Shares issued pursuant to the Deed of Issue of Consideration Shares to be charged against the Company’s reserves and to pay up such Registered Shares in full in accordance with the Deed of Issue of Consideration Shares;</w:t>
      </w:r>
    </w:p>
    <w:p>
      <w:pPr>
        <w:spacing w:after="0" w:line="173" w:lineRule="exact"/>
        <w:rPr>
          <w:rFonts w:ascii="Times New Roman" w:cs="Times New Roman" w:eastAsia="Times New Roman" w:hAnsi="Times New Roman"/>
          <w:sz w:val="18"/>
          <w:szCs w:val="18"/>
          <w:color w:val="auto"/>
        </w:rPr>
      </w:pPr>
    </w:p>
    <w:p>
      <w:pPr>
        <w:jc w:val="both"/>
        <w:ind w:left="640" w:hanging="640"/>
        <w:spacing w:after="0" w:line="26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for the Option Shares (i) have been validly granted as rights to subscribe for the relevant number of Ordinary Shares (</w:t>
      </w:r>
      <w:r>
        <w:rPr>
          <w:rFonts w:ascii="Times New Roman" w:cs="Times New Roman" w:eastAsia="Times New Roman" w:hAnsi="Times New Roman"/>
          <w:sz w:val="18"/>
          <w:szCs w:val="18"/>
          <w:i w:val="1"/>
          <w:iCs w:val="1"/>
          <w:color w:val="auto"/>
        </w:rPr>
        <w:t>rechten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tot het nemen van aandelen</w:t>
      </w:r>
      <w:r>
        <w:rPr>
          <w:rFonts w:ascii="Times New Roman" w:cs="Times New Roman" w:eastAsia="Times New Roman" w:hAnsi="Times New Roman"/>
          <w:sz w:val="18"/>
          <w:szCs w:val="18"/>
          <w:color w:val="auto"/>
        </w:rPr>
        <w:t>), (ii) shall be in full force and effect upon being exercised, and (iii) shall have been validly exercised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terms and conditions applicable to such Options prior to the issuance of the underlying Option Shares;</w:t>
      </w:r>
    </w:p>
    <w:p>
      <w:pPr>
        <w:spacing w:after="0" w:line="175" w:lineRule="exact"/>
        <w:rPr>
          <w:rFonts w:ascii="Times New Roman" w:cs="Times New Roman" w:eastAsia="Times New Roman" w:hAnsi="Times New Roman"/>
          <w:sz w:val="18"/>
          <w:szCs w:val="18"/>
          <w:color w:val="auto"/>
        </w:rPr>
      </w:pPr>
    </w:p>
    <w:p>
      <w:pPr>
        <w:jc w:val="both"/>
        <w:ind w:left="640" w:hanging="640"/>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the Options for the Option Shares at least equals the aggregate nominal value of the underlying Option Shares, and any such exercise price shall have been paid in cash or otherwise satisfied, and shall have been received and accepted by the Company, ultimately upon the issuance of the relevant Option Shares;</w:t>
      </w:r>
    </w:p>
    <w:p>
      <w:pPr>
        <w:spacing w:after="0" w:line="175" w:lineRule="exact"/>
        <w:rPr>
          <w:rFonts w:ascii="Times New Roman" w:cs="Times New Roman" w:eastAsia="Times New Roman" w:hAnsi="Times New Roman"/>
          <w:sz w:val="18"/>
          <w:szCs w:val="18"/>
          <w:color w:val="auto"/>
        </w:rPr>
      </w:pPr>
    </w:p>
    <w:p>
      <w:pPr>
        <w:ind w:left="640" w:hanging="640"/>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Company has or shall have, as applicable, consented to payment on the relevant Registered Shares in a currency other than Euro in respect of the issuance of such Registered Shares;</w:t>
      </w:r>
    </w:p>
    <w:p>
      <w:pPr>
        <w:spacing w:after="0" w:line="161" w:lineRule="exact"/>
        <w:rPr>
          <w:rFonts w:ascii="Times New Roman" w:cs="Times New Roman" w:eastAsia="Times New Roman" w:hAnsi="Times New Roman"/>
          <w:sz w:val="18"/>
          <w:szCs w:val="18"/>
          <w:color w:val="auto"/>
        </w:rPr>
      </w:pPr>
    </w:p>
    <w:p>
      <w:pPr>
        <w:ind w:left="640" w:hanging="640"/>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each respective Deed of Issue was validly signed and executed on behalf of each party thereto and each party acquiring Registered Shares at a Relevant Moment existed and had the requisite powers and authority to acquire such Registered Shares;</w:t>
      </w:r>
    </w:p>
    <w:p>
      <w:pPr>
        <w:spacing w:after="0" w:line="161" w:lineRule="exact"/>
        <w:rPr>
          <w:rFonts w:ascii="Times New Roman" w:cs="Times New Roman" w:eastAsia="Times New Roman" w:hAnsi="Times New Roman"/>
          <w:sz w:val="18"/>
          <w:szCs w:val="18"/>
          <w:color w:val="auto"/>
        </w:rPr>
      </w:pPr>
    </w:p>
    <w:p>
      <w:pPr>
        <w:jc w:val="both"/>
        <w:ind w:left="640" w:hanging="640"/>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Power of Attorney (i) was in full force and effect when the person or persons purported to be granted power of attorney thereunder made use of such Power of Attorney and (ii) under any applicable law other than Dutch law, validly authorized the person or persons purported to be granted power of attorney to represent and bind the relevant principal for the purposes stated therein;</w:t>
      </w:r>
    </w:p>
    <w:p>
      <w:pPr>
        <w:spacing w:after="0" w:line="175" w:lineRule="exact"/>
        <w:rPr>
          <w:rFonts w:ascii="Times New Roman" w:cs="Times New Roman" w:eastAsia="Times New Roman" w:hAnsi="Times New Roman"/>
          <w:sz w:val="18"/>
          <w:szCs w:val="18"/>
          <w:color w:val="auto"/>
        </w:rPr>
      </w:pPr>
    </w:p>
    <w:p>
      <w:pPr>
        <w:ind w:left="640" w:hanging="640"/>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Relevant Moment, the factual statements made and the confirmations given in the Deeds and in each Deed of Issue were complete and correct;</w:t>
      </w:r>
    </w:p>
    <w:p>
      <w:pPr>
        <w:spacing w:after="0" w:line="161" w:lineRule="exact"/>
        <w:rPr>
          <w:rFonts w:ascii="Times New Roman" w:cs="Times New Roman" w:eastAsia="Times New Roman" w:hAnsi="Times New Roman"/>
          <w:sz w:val="18"/>
          <w:szCs w:val="18"/>
          <w:color w:val="auto"/>
        </w:rPr>
      </w:pPr>
    </w:p>
    <w:p>
      <w:pPr>
        <w:ind w:left="640" w:right="20" w:hanging="640"/>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precedent to the issuance of any Registered Shares or the effectiveness of any of the Deeds or any Deed of Issue have been fulfilled;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8319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1">
            <w:col w:w="10760"/>
          </w:cols>
          <w:pgMar w:left="800" w:top="4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t>5</w:t>
      </w:r>
    </w:p>
    <w:p>
      <w:pPr>
        <w:spacing w:after="0" w:line="228" w:lineRule="exact"/>
        <w:rPr>
          <w:sz w:val="20"/>
          <w:szCs w:val="20"/>
          <w:color w:val="auto"/>
        </w:rPr>
      </w:pPr>
    </w:p>
    <w:p>
      <w:pPr>
        <w:ind w:left="640" w:hanging="640"/>
        <w:spacing w:after="0" w:line="28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Registered Shares or Options have been offered to the public (</w:t>
      </w:r>
      <w:r>
        <w:rPr>
          <w:rFonts w:ascii="Times New Roman" w:cs="Times New Roman" w:eastAsia="Times New Roman" w:hAnsi="Times New Roman"/>
          <w:sz w:val="18"/>
          <w:szCs w:val="18"/>
          <w:i w:val="1"/>
          <w:iCs w:val="1"/>
          <w:color w:val="auto"/>
        </w:rPr>
        <w:t>aanbieden aan het publiek</w:t>
      </w:r>
      <w:r>
        <w:rPr>
          <w:rFonts w:ascii="Times New Roman" w:cs="Times New Roman" w:eastAsia="Times New Roman" w:hAnsi="Times New Roman"/>
          <w:sz w:val="18"/>
          <w:szCs w:val="18"/>
          <w:color w:val="auto"/>
        </w:rPr>
        <w:t>) in the Netherlands other than in conformity with the Prospectus Regulation, the PRIIPs Regulation and the rules promulgated thereunder.</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in this opinion letter and to any matters, documents or events not disclosed to us, we express the following opinions: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Corporate Status</w:t>
      </w:r>
    </w:p>
    <w:p>
      <w:pPr>
        <w:spacing w:after="0" w:line="227" w:lineRule="exact"/>
        <w:rPr>
          <w:sz w:val="20"/>
          <w:szCs w:val="20"/>
          <w:color w:val="auto"/>
        </w:rPr>
      </w:pPr>
    </w:p>
    <w:p>
      <w:pPr>
        <w:ind w:left="640" w:hanging="640"/>
        <w:spacing w:after="0" w:line="28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duly incorporated as a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and is validly existing as a </w:t>
      </w:r>
      <w:r>
        <w:rPr>
          <w:rFonts w:ascii="Times New Roman" w:cs="Times New Roman" w:eastAsia="Times New Roman" w:hAnsi="Times New Roman"/>
          <w:sz w:val="18"/>
          <w:szCs w:val="18"/>
          <w:i w:val="1"/>
          <w:iCs w:val="1"/>
          <w:color w:val="auto"/>
        </w:rPr>
        <w:t>naamloze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Registered Shares</w:t>
      </w:r>
    </w:p>
    <w:p>
      <w:pPr>
        <w:spacing w:after="0" w:line="229" w:lineRule="exact"/>
        <w:rPr>
          <w:rFonts w:ascii="Times New Roman" w:cs="Times New Roman" w:eastAsia="Times New Roman" w:hAnsi="Times New Roman"/>
          <w:sz w:val="18"/>
          <w:szCs w:val="18"/>
          <w:color w:val="auto"/>
        </w:rPr>
      </w:pPr>
    </w:p>
    <w:p>
      <w:pPr>
        <w:jc w:val="both"/>
        <w:ind w:left="640" w:hanging="640"/>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by the Company of payment in full for, or other satisfaction of the issue or exercise price for, the Registered Shares, the Registered Shares have been and, in respect of the Option Shares (when issued and accepted), will be, validly issued,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3" w:lineRule="exact"/>
        <w:rPr>
          <w:sz w:val="20"/>
          <w:szCs w:val="20"/>
          <w:color w:val="auto"/>
        </w:rPr>
      </w:pPr>
    </w:p>
    <w:p>
      <w:pPr>
        <w:jc w:val="both"/>
        <w:ind w:left="640" w:hanging="640"/>
        <w:spacing w:after="0" w:line="26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1 must not be read to imply that the Company cannot be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 A company such as the Company may be dissolved, inter alia by the competent court at the request of the company’s board of directors, any interested party (</w:t>
      </w:r>
      <w:r>
        <w:rPr>
          <w:rFonts w:ascii="Times New Roman" w:cs="Times New Roman" w:eastAsia="Times New Roman" w:hAnsi="Times New Roman"/>
          <w:sz w:val="18"/>
          <w:szCs w:val="18"/>
          <w:i w:val="1"/>
          <w:iCs w:val="1"/>
          <w:color w:val="auto"/>
        </w:rPr>
        <w:t>belanghebbende</w:t>
      </w:r>
      <w:r>
        <w:rPr>
          <w:rFonts w:ascii="Times New Roman" w:cs="Times New Roman" w:eastAsia="Times New Roman" w:hAnsi="Times New Roman"/>
          <w:sz w:val="18"/>
          <w:szCs w:val="18"/>
          <w:color w:val="auto"/>
        </w:rPr>
        <w:t>) or the public prosecution office in certain circumstances, such as when there are certain defects in the incorporation of the company. Any such dissolution will not have retro-active effect.</w:t>
      </w:r>
    </w:p>
    <w:p>
      <w:pPr>
        <w:spacing w:after="0" w:line="181" w:lineRule="exact"/>
        <w:rPr>
          <w:rFonts w:ascii="Times New Roman" w:cs="Times New Roman" w:eastAsia="Times New Roman" w:hAnsi="Times New Roman"/>
          <w:sz w:val="18"/>
          <w:szCs w:val="18"/>
          <w:color w:val="auto"/>
        </w:rPr>
      </w:pPr>
    </w:p>
    <w:p>
      <w:pPr>
        <w:jc w:val="both"/>
        <w:ind w:left="640" w:hanging="640"/>
        <w:spacing w:after="0" w:line="25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2:7 DCC, any transaction entered into by a legal entity may be nullified by the legal entity itself or its liquidator in bankruptcy proceedings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if the objects of that entity were transgressed by the transaction and the other party to the transaction knew or should have known this without independent investigation (</w:t>
      </w:r>
      <w:r>
        <w:rPr>
          <w:rFonts w:ascii="Times New Roman" w:cs="Times New Roman" w:eastAsia="Times New Roman" w:hAnsi="Times New Roman"/>
          <w:sz w:val="18"/>
          <w:szCs w:val="18"/>
          <w:i w:val="1"/>
          <w:iCs w:val="1"/>
          <w:color w:val="auto"/>
        </w:rPr>
        <w:t>wist of zonder eigen onderzoek moest weten</w:t>
      </w:r>
      <w:r>
        <w:rPr>
          <w:rFonts w:ascii="Times New Roman" w:cs="Times New Roman" w:eastAsia="Times New Roman" w:hAnsi="Times New Roman"/>
          <w:sz w:val="18"/>
          <w:szCs w:val="18"/>
          <w:color w:val="auto"/>
        </w:rPr>
        <w:t>). The Dutch Supreme Court (</w:t>
      </w:r>
      <w:r>
        <w:rPr>
          <w:rFonts w:ascii="Times New Roman" w:cs="Times New Roman" w:eastAsia="Times New Roman" w:hAnsi="Times New Roman"/>
          <w:sz w:val="18"/>
          <w:szCs w:val="18"/>
          <w:i w:val="1"/>
          <w:iCs w:val="1"/>
          <w:color w:val="auto"/>
        </w:rPr>
        <w:t>Hoge Raad der Nederlanden</w:t>
      </w:r>
      <w:r>
        <w:rPr>
          <w:rFonts w:ascii="Times New Roman" w:cs="Times New Roman" w:eastAsia="Times New Roman" w:hAnsi="Times New Roman"/>
          <w:sz w:val="18"/>
          <w:szCs w:val="18"/>
          <w:color w:val="auto"/>
        </w:rPr>
        <w:t>) has ruled that in determining whether the objects of a legal entity are transgressed, not only the description of the objects in that legal entity’s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is decisive, but all (relevant) circumstances must be taken into account, in particular whether the interests of the legal entity were served by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8319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1">
            <w:col w:w="10760"/>
          </w:cols>
          <w:pgMar w:left="800" w:top="4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t>6</w:t>
      </w:r>
    </w:p>
    <w:p>
      <w:pPr>
        <w:spacing w:after="0" w:line="228" w:lineRule="exact"/>
        <w:rPr>
          <w:sz w:val="20"/>
          <w:szCs w:val="20"/>
          <w:color w:val="auto"/>
        </w:rPr>
      </w:pPr>
    </w:p>
    <w:p>
      <w:pPr>
        <w:jc w:val="both"/>
        <w:ind w:left="640" w:hanging="640"/>
        <w:spacing w:after="0" w:line="257"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2:98c DCC, a company such as the Company may grant loans (</w:t>
      </w:r>
      <w:r>
        <w:rPr>
          <w:rFonts w:ascii="Times New Roman" w:cs="Times New Roman" w:eastAsia="Times New Roman" w:hAnsi="Times New Roman"/>
          <w:sz w:val="18"/>
          <w:szCs w:val="18"/>
          <w:i w:val="1"/>
          <w:iCs w:val="1"/>
          <w:color w:val="auto"/>
        </w:rPr>
        <w:t>leningen verstrekken</w:t>
      </w:r>
      <w:r>
        <w:rPr>
          <w:rFonts w:ascii="Times New Roman" w:cs="Times New Roman" w:eastAsia="Times New Roman" w:hAnsi="Times New Roman"/>
          <w:sz w:val="18"/>
          <w:szCs w:val="18"/>
          <w:color w:val="auto"/>
        </w:rPr>
        <w:t>) only in accordance with the restrictions set out in Section 2:98c DCC, and may not provide security (</w:t>
      </w:r>
      <w:r>
        <w:rPr>
          <w:rFonts w:ascii="Times New Roman" w:cs="Times New Roman" w:eastAsia="Times New Roman" w:hAnsi="Times New Roman"/>
          <w:sz w:val="18"/>
          <w:szCs w:val="18"/>
          <w:i w:val="1"/>
          <w:iCs w:val="1"/>
          <w:color w:val="auto"/>
        </w:rPr>
        <w:t>zekerheid stellen</w:t>
      </w:r>
      <w:r>
        <w:rPr>
          <w:rFonts w:ascii="Times New Roman" w:cs="Times New Roman" w:eastAsia="Times New Roman" w:hAnsi="Times New Roman"/>
          <w:sz w:val="18"/>
          <w:szCs w:val="18"/>
          <w:color w:val="auto"/>
        </w:rPr>
        <w:t>), give a price guarantee (</w:t>
      </w:r>
      <w:r>
        <w:rPr>
          <w:rFonts w:ascii="Times New Roman" w:cs="Times New Roman" w:eastAsia="Times New Roman" w:hAnsi="Times New Roman"/>
          <w:sz w:val="18"/>
          <w:szCs w:val="18"/>
          <w:i w:val="1"/>
          <w:iCs w:val="1"/>
          <w:color w:val="auto"/>
        </w:rPr>
        <w:t>koersgarantie geven</w:t>
      </w:r>
      <w:r>
        <w:rPr>
          <w:rFonts w:ascii="Times New Roman" w:cs="Times New Roman" w:eastAsia="Times New Roman" w:hAnsi="Times New Roman"/>
          <w:sz w:val="18"/>
          <w:szCs w:val="18"/>
          <w:color w:val="auto"/>
        </w:rPr>
        <w:t>) or otherwise bind itself, whether jointly and severally or otherwise with or for third parties (</w:t>
      </w:r>
      <w:r>
        <w:rPr>
          <w:rFonts w:ascii="Times New Roman" w:cs="Times New Roman" w:eastAsia="Times New Roman" w:hAnsi="Times New Roman"/>
          <w:sz w:val="18"/>
          <w:szCs w:val="18"/>
          <w:i w:val="1"/>
          <w:iCs w:val="1"/>
          <w:color w:val="auto"/>
        </w:rPr>
        <w:t>zich op andere wijze sterk maken of zich hoofdelijk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anderszins naast of voor anderen verbinden</w:t>
      </w:r>
      <w:r>
        <w:rPr>
          <w:rFonts w:ascii="Times New Roman" w:cs="Times New Roman" w:eastAsia="Times New Roman" w:hAnsi="Times New Roman"/>
          <w:sz w:val="18"/>
          <w:szCs w:val="18"/>
          <w:color w:val="auto"/>
        </w:rPr>
        <w:t>) with a view to (</w:t>
      </w:r>
      <w:r>
        <w:rPr>
          <w:rFonts w:ascii="Times New Roman" w:cs="Times New Roman" w:eastAsia="Times New Roman" w:hAnsi="Times New Roman"/>
          <w:sz w:val="18"/>
          <w:szCs w:val="18"/>
          <w:i w:val="1"/>
          <w:iCs w:val="1"/>
          <w:color w:val="auto"/>
        </w:rPr>
        <w:t>met het oog op</w:t>
      </w:r>
      <w:r>
        <w:rPr>
          <w:rFonts w:ascii="Times New Roman" w:cs="Times New Roman" w:eastAsia="Times New Roman" w:hAnsi="Times New Roman"/>
          <w:sz w:val="18"/>
          <w:szCs w:val="18"/>
          <w:color w:val="auto"/>
        </w:rPr>
        <w:t>) the subscription or acquisition by third parties of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share capital or depository receipts. This prohibition also applies to its subsidiaries (</w:t>
      </w:r>
      <w:r>
        <w:rPr>
          <w:rFonts w:ascii="Times New Roman" w:cs="Times New Roman" w:eastAsia="Times New Roman" w:hAnsi="Times New Roman"/>
          <w:sz w:val="18"/>
          <w:szCs w:val="18"/>
          <w:i w:val="1"/>
          <w:iCs w:val="1"/>
          <w:color w:val="auto"/>
        </w:rPr>
        <w:t>dochtervennootschappen</w:t>
      </w:r>
      <w:r>
        <w:rPr>
          <w:rFonts w:ascii="Times New Roman" w:cs="Times New Roman" w:eastAsia="Times New Roman" w:hAnsi="Times New Roman"/>
          <w:sz w:val="18"/>
          <w:szCs w:val="18"/>
          <w:color w:val="auto"/>
        </w:rPr>
        <w:t>). It is generally assumed that a transaction entered into in violation of Section 2:98c DCC is null and void (</w:t>
      </w:r>
      <w:r>
        <w:rPr>
          <w:rFonts w:ascii="Times New Roman" w:cs="Times New Roman" w:eastAsia="Times New Roman" w:hAnsi="Times New Roman"/>
          <w:sz w:val="18"/>
          <w:szCs w:val="18"/>
          <w:i w:val="1"/>
          <w:iCs w:val="1"/>
          <w:color w:val="auto"/>
        </w:rPr>
        <w:t>nietig</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40" w:hanging="64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expressed in this opinion letter may be limited or affected by:</w:t>
      </w:r>
    </w:p>
    <w:p>
      <w:pPr>
        <w:spacing w:after="0" w:line="225" w:lineRule="exact"/>
        <w:rPr>
          <w:rFonts w:ascii="Times New Roman" w:cs="Times New Roman" w:eastAsia="Times New Roman" w:hAnsi="Times New Roman"/>
          <w:sz w:val="18"/>
          <w:szCs w:val="18"/>
          <w:color w:val="auto"/>
        </w:rPr>
      </w:pPr>
    </w:p>
    <w:p>
      <w:pPr>
        <w:ind w:left="1260" w:hanging="625"/>
        <w:spacing w:after="0" w:line="282"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relating to Insolvency Proceedings or similar proceedings under a foreign law and other rules affecting creditors’ rights generally;</w:t>
      </w:r>
    </w:p>
    <w:p>
      <w:pPr>
        <w:spacing w:after="0" w:line="159" w:lineRule="exact"/>
        <w:rPr>
          <w:rFonts w:ascii="Times New Roman" w:cs="Times New Roman" w:eastAsia="Times New Roman" w:hAnsi="Times New Roman"/>
          <w:sz w:val="18"/>
          <w:szCs w:val="18"/>
          <w:color w:val="auto"/>
        </w:rPr>
      </w:pPr>
    </w:p>
    <w:p>
      <w:pPr>
        <w:ind w:left="1260" w:right="20" w:hanging="625"/>
        <w:spacing w:after="0" w:line="284"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fraudulent preference and fraudulent conveyance (</w:t>
      </w:r>
      <w:r>
        <w:rPr>
          <w:rFonts w:ascii="Times New Roman" w:cs="Times New Roman" w:eastAsia="Times New Roman" w:hAnsi="Times New Roman"/>
          <w:sz w:val="18"/>
          <w:szCs w:val="18"/>
          <w:i w:val="1"/>
          <w:iCs w:val="1"/>
          <w:color w:val="auto"/>
        </w:rPr>
        <w:t>Actio Pauliana</w:t>
      </w:r>
      <w:r>
        <w:rPr>
          <w:rFonts w:ascii="Times New Roman" w:cs="Times New Roman" w:eastAsia="Times New Roman" w:hAnsi="Times New Roman"/>
          <w:sz w:val="18"/>
          <w:szCs w:val="18"/>
          <w:color w:val="auto"/>
        </w:rPr>
        <w:t>) and similar rights available in other jurisdictions to insolvency practitioners and insolvency office holders in bankruptcy proceedings or creditors;</w:t>
      </w:r>
    </w:p>
    <w:p>
      <w:pPr>
        <w:spacing w:after="0" w:line="158" w:lineRule="exact"/>
        <w:rPr>
          <w:rFonts w:ascii="Times New Roman" w:cs="Times New Roman" w:eastAsia="Times New Roman" w:hAnsi="Times New Roman"/>
          <w:sz w:val="18"/>
          <w:szCs w:val="18"/>
          <w:color w:val="auto"/>
        </w:rPr>
      </w:pPr>
    </w:p>
    <w:p>
      <w:pPr>
        <w:ind w:left="1260" w:hanging="625"/>
        <w:spacing w:after="0"/>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based on tort (</w:t>
      </w:r>
      <w:r>
        <w:rPr>
          <w:rFonts w:ascii="Times New Roman" w:cs="Times New Roman" w:eastAsia="Times New Roman" w:hAnsi="Times New Roman"/>
          <w:sz w:val="18"/>
          <w:szCs w:val="18"/>
          <w:i w:val="1"/>
          <w:iCs w:val="1"/>
          <w:color w:val="auto"/>
        </w:rPr>
        <w:t>onrechtmatige daad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260" w:hanging="625"/>
        <w:spacing w:after="0" w:line="282"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measures, including but not limited to those concerning export control, pursuant to European Union regulations, under the Dutch Sanctions Act 1977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 legislation;</w:t>
      </w:r>
    </w:p>
    <w:p>
      <w:pPr>
        <w:spacing w:after="0" w:line="161" w:lineRule="exact"/>
        <w:rPr>
          <w:rFonts w:ascii="Times New Roman" w:cs="Times New Roman" w:eastAsia="Times New Roman" w:hAnsi="Times New Roman"/>
          <w:sz w:val="18"/>
          <w:szCs w:val="18"/>
          <w:color w:val="auto"/>
        </w:rPr>
      </w:pPr>
    </w:p>
    <w:p>
      <w:pPr>
        <w:ind w:left="1260" w:hanging="625"/>
        <w:spacing w:after="0"/>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Anti-Boycott Regulation, Anti Money Laundering Laws and related legislation;</w:t>
      </w:r>
    </w:p>
    <w:p>
      <w:pPr>
        <w:spacing w:after="0" w:line="225" w:lineRule="exact"/>
        <w:rPr>
          <w:rFonts w:ascii="Times New Roman" w:cs="Times New Roman" w:eastAsia="Times New Roman" w:hAnsi="Times New Roman"/>
          <w:sz w:val="18"/>
          <w:szCs w:val="18"/>
          <w:color w:val="auto"/>
        </w:rPr>
      </w:pPr>
    </w:p>
    <w:p>
      <w:pPr>
        <w:ind w:left="1260" w:hanging="625"/>
        <w:spacing w:after="0" w:line="282"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intervention, recovery or resolution measure by any regulatory or other authority or governmental body in relation to financial enterprises or their affiliated entities; and</w:t>
      </w:r>
    </w:p>
    <w:p>
      <w:pPr>
        <w:spacing w:after="0" w:line="159" w:lineRule="exact"/>
        <w:rPr>
          <w:rFonts w:ascii="Times New Roman" w:cs="Times New Roman" w:eastAsia="Times New Roman" w:hAnsi="Times New Roman"/>
          <w:sz w:val="18"/>
          <w:szCs w:val="18"/>
          <w:color w:val="auto"/>
        </w:rPr>
      </w:pPr>
    </w:p>
    <w:p>
      <w:pPr>
        <w:jc w:val="both"/>
        <w:ind w:left="1260" w:hanging="625"/>
        <w:spacing w:after="0" w:line="261" w:lineRule="auto"/>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force majeure (</w:t>
      </w:r>
      <w:r>
        <w:rPr>
          <w:rFonts w:ascii="Times New Roman" w:cs="Times New Roman" w:eastAsia="Times New Roman" w:hAnsi="Times New Roman"/>
          <w:sz w:val="18"/>
          <w:szCs w:val="18"/>
          <w:i w:val="1"/>
          <w:iCs w:val="1"/>
          <w:color w:val="auto"/>
        </w:rPr>
        <w:t>niet toerekenbare tekortkoming</w:t>
      </w:r>
      <w:r>
        <w:rPr>
          <w:rFonts w:ascii="Times New Roman" w:cs="Times New Roman" w:eastAsia="Times New Roman" w:hAnsi="Times New Roman"/>
          <w:sz w:val="18"/>
          <w:szCs w:val="18"/>
          <w:color w:val="auto"/>
        </w:rPr>
        <w:t>), reasonableness and fairness (</w:t>
      </w:r>
      <w:r>
        <w:rPr>
          <w:rFonts w:ascii="Times New Roman" w:cs="Times New Roman" w:eastAsia="Times New Roman" w:hAnsi="Times New Roman"/>
          <w:sz w:val="18"/>
          <w:szCs w:val="18"/>
          <w:i w:val="1"/>
          <w:iCs w:val="1"/>
          <w:color w:val="auto"/>
        </w:rPr>
        <w:t>redelijkheid en billijkheid</w:t>
      </w:r>
      <w:r>
        <w:rPr>
          <w:rFonts w:ascii="Times New Roman" w:cs="Times New Roman" w:eastAsia="Times New Roman" w:hAnsi="Times New Roman"/>
          <w:sz w:val="18"/>
          <w:szCs w:val="18"/>
          <w:color w:val="auto"/>
        </w:rPr>
        <w:t>), suspension (</w:t>
      </w:r>
      <w:r>
        <w:rPr>
          <w:rFonts w:ascii="Times New Roman" w:cs="Times New Roman" w:eastAsia="Times New Roman" w:hAnsi="Times New Roman"/>
          <w:sz w:val="18"/>
          <w:szCs w:val="18"/>
          <w:i w:val="1"/>
          <w:iCs w:val="1"/>
          <w:color w:val="auto"/>
        </w:rPr>
        <w:t>opschorting</w:t>
      </w:r>
      <w:r>
        <w:rPr>
          <w:rFonts w:ascii="Times New Roman" w:cs="Times New Roman" w:eastAsia="Times New Roman" w:hAnsi="Times New Roman"/>
          <w:sz w:val="18"/>
          <w:szCs w:val="18"/>
          <w:color w:val="auto"/>
        </w:rPr>
        <w:t>), dissolution (</w:t>
      </w:r>
      <w:r>
        <w:rPr>
          <w:rFonts w:ascii="Times New Roman" w:cs="Times New Roman" w:eastAsia="Times New Roman" w:hAnsi="Times New Roman"/>
          <w:sz w:val="18"/>
          <w:szCs w:val="18"/>
          <w:i w:val="1"/>
          <w:iCs w:val="1"/>
          <w:color w:val="auto"/>
        </w:rPr>
        <w:t>ontbinding</w:t>
      </w:r>
      <w:r>
        <w:rPr>
          <w:rFonts w:ascii="Times New Roman" w:cs="Times New Roman" w:eastAsia="Times New Roman" w:hAnsi="Times New Roman"/>
          <w:sz w:val="18"/>
          <w:szCs w:val="18"/>
          <w:color w:val="auto"/>
        </w:rPr>
        <w:t>), unforeseen circumstances (</w:t>
      </w:r>
      <w:r>
        <w:rPr>
          <w:rFonts w:ascii="Times New Roman" w:cs="Times New Roman" w:eastAsia="Times New Roman" w:hAnsi="Times New Roman"/>
          <w:sz w:val="18"/>
          <w:szCs w:val="18"/>
          <w:i w:val="1"/>
          <w:iCs w:val="1"/>
          <w:color w:val="auto"/>
        </w:rPr>
        <w:t>onvoorziene omstandigheden</w:t>
      </w:r>
      <w:r>
        <w:rPr>
          <w:rFonts w:ascii="Times New Roman" w:cs="Times New Roman" w:eastAsia="Times New Roman" w:hAnsi="Times New Roman"/>
          <w:sz w:val="18"/>
          <w:szCs w:val="18"/>
          <w:color w:val="auto"/>
        </w:rPr>
        <w:t>) and vitiated consent (i.e., duress (</w:t>
      </w:r>
      <w:r>
        <w:rPr>
          <w:rFonts w:ascii="Times New Roman" w:cs="Times New Roman" w:eastAsia="Times New Roman" w:hAnsi="Times New Roman"/>
          <w:sz w:val="18"/>
          <w:szCs w:val="18"/>
          <w:i w:val="1"/>
          <w:iCs w:val="1"/>
          <w:color w:val="auto"/>
        </w:rPr>
        <w:t>bedreiging</w:t>
      </w:r>
      <w:r>
        <w:rPr>
          <w:rFonts w:ascii="Times New Roman" w:cs="Times New Roman" w:eastAsia="Times New Roman" w:hAnsi="Times New Roman"/>
          <w:sz w:val="18"/>
          <w:szCs w:val="18"/>
          <w:color w:val="auto"/>
        </w:rPr>
        <w:t>), fraud (</w:t>
      </w:r>
      <w:r>
        <w:rPr>
          <w:rFonts w:ascii="Times New Roman" w:cs="Times New Roman" w:eastAsia="Times New Roman" w:hAnsi="Times New Roman"/>
          <w:sz w:val="18"/>
          <w:szCs w:val="18"/>
          <w:i w:val="1"/>
          <w:iCs w:val="1"/>
          <w:color w:val="auto"/>
        </w:rPr>
        <w:t>bedrog</w:t>
      </w:r>
      <w:r>
        <w:rPr>
          <w:rFonts w:ascii="Times New Roman" w:cs="Times New Roman" w:eastAsia="Times New Roman" w:hAnsi="Times New Roman"/>
          <w:sz w:val="18"/>
          <w:szCs w:val="18"/>
          <w:color w:val="auto"/>
        </w:rPr>
        <w:t>), abuse of circumstances (</w:t>
      </w:r>
      <w:r>
        <w:rPr>
          <w:rFonts w:ascii="Times New Roman" w:cs="Times New Roman" w:eastAsia="Times New Roman" w:hAnsi="Times New Roman"/>
          <w:sz w:val="18"/>
          <w:szCs w:val="18"/>
          <w:i w:val="1"/>
          <w:iCs w:val="1"/>
          <w:color w:val="auto"/>
        </w:rPr>
        <w:t>misbruik van omstandigheden</w:t>
      </w:r>
      <w:r>
        <w:rPr>
          <w:rFonts w:ascii="Times New Roman" w:cs="Times New Roman" w:eastAsia="Times New Roman" w:hAnsi="Times New Roman"/>
          <w:sz w:val="18"/>
          <w:szCs w:val="18"/>
          <w:color w:val="auto"/>
        </w:rPr>
        <w:t>) and error (</w:t>
      </w:r>
      <w:r>
        <w:rPr>
          <w:rFonts w:ascii="Times New Roman" w:cs="Times New Roman" w:eastAsia="Times New Roman" w:hAnsi="Times New Roman"/>
          <w:sz w:val="18"/>
          <w:szCs w:val="18"/>
          <w:i w:val="1"/>
          <w:iCs w:val="1"/>
          <w:color w:val="auto"/>
        </w:rPr>
        <w:t>dwaling</w:t>
      </w:r>
      <w:r>
        <w:rPr>
          <w:rFonts w:ascii="Times New Roman" w:cs="Times New Roman" w:eastAsia="Times New Roman" w:hAnsi="Times New Roman"/>
          <w:sz w:val="18"/>
          <w:szCs w:val="18"/>
          <w:color w:val="auto"/>
        </w:rPr>
        <w:t>)) or a difference of intention (</w:t>
      </w:r>
      <w:r>
        <w:rPr>
          <w:rFonts w:ascii="Times New Roman" w:cs="Times New Roman" w:eastAsia="Times New Roman" w:hAnsi="Times New Roman"/>
          <w:sz w:val="18"/>
          <w:szCs w:val="18"/>
          <w:i w:val="1"/>
          <w:iCs w:val="1"/>
          <w:color w:val="auto"/>
        </w:rPr>
        <w:t>wil</w:t>
      </w:r>
      <w:r>
        <w:rPr>
          <w:rFonts w:ascii="Times New Roman" w:cs="Times New Roman" w:eastAsia="Times New Roman" w:hAnsi="Times New Roman"/>
          <w:sz w:val="18"/>
          <w:szCs w:val="18"/>
          <w:color w:val="auto"/>
        </w:rPr>
        <w:t>) and declaration (</w:t>
      </w:r>
      <w:r>
        <w:rPr>
          <w:rFonts w:ascii="Times New Roman" w:cs="Times New Roman" w:eastAsia="Times New Roman" w:hAnsi="Times New Roman"/>
          <w:sz w:val="18"/>
          <w:szCs w:val="18"/>
          <w:i w:val="1"/>
          <w:iCs w:val="1"/>
          <w:color w:val="auto"/>
        </w:rPr>
        <w:t>verklaring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8319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1">
            <w:col w:w="10760"/>
          </w:cols>
          <w:pgMar w:left="800" w:top="47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t>7</w:t>
      </w:r>
    </w:p>
    <w:p>
      <w:pPr>
        <w:spacing w:after="0" w:line="230" w:lineRule="exact"/>
        <w:rPr>
          <w:sz w:val="20"/>
          <w:szCs w:val="20"/>
          <w:color w:val="auto"/>
        </w:rPr>
      </w:pPr>
    </w:p>
    <w:p>
      <w:pPr>
        <w:jc w:val="both"/>
        <w:ind w:left="640" w:hanging="640"/>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w:t>
      </w:r>
    </w:p>
    <w:p>
      <w:pPr>
        <w:spacing w:after="0" w:line="175" w:lineRule="exact"/>
        <w:rPr>
          <w:rFonts w:ascii="Times New Roman" w:cs="Times New Roman" w:eastAsia="Times New Roman" w:hAnsi="Times New Roman"/>
          <w:sz w:val="18"/>
          <w:szCs w:val="18"/>
          <w:color w:val="auto"/>
        </w:rPr>
      </w:pPr>
    </w:p>
    <w:p>
      <w:pPr>
        <w:ind w:left="640" w:hanging="640"/>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does not purport to express any opinion or view on the operational rules and procedures of any clearing or settlement system or agency.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filing of this opinion letter as an exhibit to the Company’s Current Report on Form 8-K to be filed with the SEC in connection with the Prospectus Supplement and also consent to the reference to NautaDutilh in the Prospectus Supplement under the caption “Legal Matters”. In giving this consent we do not admit or imply that we are a person whose consent is required under Section 7 of the United States Securities Act of 1933, as amended, or any rules and regulations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NautaDutilh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NautaDutilh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8319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1">
            <w:col w:w="10760"/>
          </w:cols>
          <w:pgMar w:left="800" w:top="477" w:right="339" w:bottom="1440" w:gutter="0" w:footer="0" w:header="0"/>
        </w:sectPr>
      </w:pPr>
    </w:p>
    <w:bookmarkStart w:id="10" w:name="page11"/>
    <w:bookmarkEnd w:id="10"/>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 Money Laundering Laws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Anti-Boycott Regulation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Register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Articles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Conversion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-330200</wp:posOffset>
            </wp:positionV>
            <wp:extent cx="128587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European Anti-Money Laundering Directives, as implemented in the Netherlands in the Money Laundering and Terrorist Financing Prevention Act (</w:t>
      </w:r>
      <w:r>
        <w:rPr>
          <w:rFonts w:ascii="Times New Roman" w:cs="Times New Roman" w:eastAsia="Times New Roman" w:hAnsi="Times New Roman"/>
          <w:sz w:val="18"/>
          <w:szCs w:val="18"/>
          <w:i w:val="1"/>
          <w:iCs w:val="1"/>
          <w:color w:val="auto"/>
        </w:rPr>
        <w:t>Wet ter voorkoming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witwassen en financieren van terrorisme</w:t>
      </w:r>
      <w:r>
        <w:rPr>
          <w:rFonts w:ascii="Times New Roman" w:cs="Times New Roman" w:eastAsia="Times New Roman" w:hAnsi="Times New Roman"/>
          <w:sz w:val="18"/>
          <w:szCs w:val="18"/>
          <w:color w:val="auto"/>
        </w:rPr>
        <w:t>) and the Dutch Criminal Code (</w:t>
      </w:r>
      <w:r>
        <w:rPr>
          <w:rFonts w:ascii="Times New Roman" w:cs="Times New Roman" w:eastAsia="Times New Roman" w:hAnsi="Times New Roman"/>
          <w:sz w:val="18"/>
          <w:szCs w:val="18"/>
          <w:i w:val="1"/>
          <w:iCs w:val="1"/>
          <w:color w:val="auto"/>
        </w:rPr>
        <w:t>Wetboek van Strafrecht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Council Regulation (EC) No 2271/96 of 22 November 1996 on protecting against the effects of the extra-territorial application of legislation adopted by a third country, and actions based thereon or resulting therefrom.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as they read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Dutch Bankruptcy Code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Dutch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Atai Beckley N.V (previously named ATAI Life Sciences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registered with the Commercial Register under number 80299776.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Deed of Incorporation, the Deed of Stock Split, the Deed of Conversion, the Deed of Amendment and the Current Articles.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Articles of Association as they read pursuant to the execution of the Deed of Amendment.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deed of amendment to the Articles of Association dated November 5,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deed of conversion and amendment to the Articles of Association dated June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225425</wp:posOffset>
            </wp:positionV>
            <wp:extent cx="68319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ectPr>
          <w:pgSz w:w="11900" w:h="16838" w:orient="portrait"/>
          <w:cols w:equalWidth="0" w:num="2">
            <w:col w:w="3540" w:space="720"/>
            <w:col w:w="6500"/>
          </w:cols>
          <w:pgMar w:left="800" w:top="47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9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9</w:t>
            </w:r>
          </w:p>
        </w:tc>
      </w:tr>
      <w:tr>
        <w:trPr>
          <w:trHeight w:val="4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Incorporation</w:t>
            </w:r>
            <w:r>
              <w:rPr>
                <w:rFonts w:ascii="Times New Roman" w:cs="Times New Roman" w:eastAsia="Times New Roman" w:hAnsi="Times New Roman"/>
                <w:sz w:val="18"/>
                <w:szCs w:val="18"/>
                <w:color w:val="auto"/>
              </w:rPr>
              <w:t>”</w:t>
            </w: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Company’s deed of incorporation (</w:t>
            </w:r>
            <w:r>
              <w:rPr>
                <w:rFonts w:ascii="Times New Roman" w:cs="Times New Roman" w:eastAsia="Times New Roman" w:hAnsi="Times New Roman"/>
                <w:sz w:val="18"/>
                <w:szCs w:val="18"/>
                <w:i w:val="1"/>
                <w:iCs w:val="1"/>
                <w:color w:val="auto"/>
              </w:rPr>
              <w:t>akte van oprichting</w:t>
            </w:r>
            <w:r>
              <w:rPr>
                <w:rFonts w:ascii="Times New Roman" w:cs="Times New Roman" w:eastAsia="Times New Roman" w:hAnsi="Times New Roman"/>
                <w:sz w:val="18"/>
                <w:szCs w:val="18"/>
                <w:color w:val="auto"/>
              </w:rPr>
              <w:t>) dated September 10, 2020.</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Issue of Consideration Shares</w:t>
            </w:r>
            <w:r>
              <w:rPr>
                <w:rFonts w:ascii="Times New Roman" w:cs="Times New Roman" w:eastAsia="Times New Roman" w:hAnsi="Times New Roman"/>
                <w:sz w:val="18"/>
                <w:szCs w:val="18"/>
                <w:color w:val="auto"/>
              </w:rPr>
              <w:t>”</w:t>
            </w: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deed of issue of Ordinary Shares dated November 5, 2025.</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Issue of IPO Shares</w:t>
            </w:r>
            <w:r>
              <w:rPr>
                <w:rFonts w:ascii="Times New Roman" w:cs="Times New Roman" w:eastAsia="Times New Roman" w:hAnsi="Times New Roman"/>
                <w:sz w:val="18"/>
                <w:szCs w:val="18"/>
                <w:color w:val="auto"/>
              </w:rPr>
              <w:t>”</w:t>
            </w: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deed of issue of Ordinary Shares dated June 17, 2021.</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Issue of Offer Shares</w:t>
            </w:r>
            <w:r>
              <w:rPr>
                <w:rFonts w:ascii="Times New Roman" w:cs="Times New Roman" w:eastAsia="Times New Roman" w:hAnsi="Times New Roman"/>
                <w:sz w:val="18"/>
                <w:szCs w:val="18"/>
                <w:color w:val="auto"/>
              </w:rPr>
              <w:t>”</w:t>
            </w: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deed of issue of Ordinary Shares dated February 14, 2025.</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Issue of Pre-IPO Shares</w:t>
            </w:r>
            <w:r>
              <w:rPr>
                <w:rFonts w:ascii="Times New Roman" w:cs="Times New Roman" w:eastAsia="Times New Roman" w:hAnsi="Times New Roman"/>
                <w:sz w:val="18"/>
                <w:szCs w:val="18"/>
                <w:color w:val="auto"/>
              </w:rPr>
              <w:t>”</w:t>
            </w: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notarial deed of issue of ordinary shares in the Company’s capital, having a nominal</w:t>
            </w:r>
          </w:p>
        </w:tc>
      </w:tr>
      <w:tr>
        <w:trPr>
          <w:trHeight w:val="234"/>
        </w:trPr>
        <w:tc>
          <w:tcPr>
            <w:tcW w:w="3660" w:type="dxa"/>
            <w:vAlign w:val="bottom"/>
          </w:tcPr>
          <w:p>
            <w:pPr>
              <w:spacing w:after="0"/>
              <w:rPr>
                <w:sz w:val="20"/>
                <w:szCs w:val="20"/>
                <w:color w:val="auto"/>
              </w:rPr>
            </w:pP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value of EUR 0.16 each, in exchange for contribution in kind, dated April 23, 2021.</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Stock Split</w:t>
            </w:r>
            <w:r>
              <w:rPr>
                <w:rFonts w:ascii="Times New Roman" w:cs="Times New Roman" w:eastAsia="Times New Roman" w:hAnsi="Times New Roman"/>
                <w:sz w:val="18"/>
                <w:szCs w:val="18"/>
                <w:color w:val="auto"/>
              </w:rPr>
              <w:t>”</w:t>
            </w: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deed of amendment to the Articles of Associated dated June 7, 2021.</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Deeds</w:t>
            </w:r>
            <w:r>
              <w:rPr>
                <w:rFonts w:ascii="Times New Roman" w:cs="Times New Roman" w:eastAsia="Times New Roman" w:hAnsi="Times New Roman"/>
                <w:sz w:val="18"/>
                <w:szCs w:val="18"/>
                <w:color w:val="auto"/>
              </w:rPr>
              <w:t>”</w:t>
            </w:r>
          </w:p>
        </w:tc>
        <w:tc>
          <w:tcPr>
            <w:tcW w:w="7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Each of the following:</w:t>
            </w:r>
          </w:p>
        </w:tc>
      </w:tr>
      <w:tr>
        <w:trPr>
          <w:trHeight w:val="414"/>
        </w:trPr>
        <w:tc>
          <w:tcPr>
            <w:tcW w:w="3660" w:type="dxa"/>
            <w:vAlign w:val="bottom"/>
          </w:tcPr>
          <w:p>
            <w:pPr>
              <w:spacing w:after="0"/>
              <w:rPr>
                <w:sz w:val="24"/>
                <w:szCs w:val="24"/>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Incorporation;</w:t>
            </w:r>
          </w:p>
        </w:tc>
      </w:tr>
      <w:tr>
        <w:trPr>
          <w:trHeight w:val="216"/>
        </w:trPr>
        <w:tc>
          <w:tcPr>
            <w:tcW w:w="36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Conversion;</w:t>
            </w:r>
          </w:p>
        </w:tc>
      </w:tr>
      <w:tr>
        <w:trPr>
          <w:trHeight w:val="216"/>
        </w:trPr>
        <w:tc>
          <w:tcPr>
            <w:tcW w:w="36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Stock Split; and</w:t>
            </w:r>
          </w:p>
        </w:tc>
      </w:tr>
      <w:tr>
        <w:trPr>
          <w:trHeight w:val="234"/>
        </w:trPr>
        <w:tc>
          <w:tcPr>
            <w:tcW w:w="366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Issue of Pre-IPO Shares;</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Deed of Issue</w:t>
            </w:r>
            <w:r>
              <w:rPr>
                <w:rFonts w:ascii="Times New Roman" w:cs="Times New Roman" w:eastAsia="Times New Roman" w:hAnsi="Times New Roman"/>
                <w:sz w:val="18"/>
                <w:szCs w:val="18"/>
                <w:color w:val="auto"/>
              </w:rPr>
              <w:t>”</w:t>
            </w:r>
          </w:p>
        </w:tc>
        <w:tc>
          <w:tcPr>
            <w:tcW w:w="7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Each of the following:</w:t>
            </w:r>
          </w:p>
        </w:tc>
      </w:tr>
      <w:tr>
        <w:trPr>
          <w:trHeight w:val="414"/>
        </w:trPr>
        <w:tc>
          <w:tcPr>
            <w:tcW w:w="3660" w:type="dxa"/>
            <w:vAlign w:val="bottom"/>
          </w:tcPr>
          <w:p>
            <w:pPr>
              <w:spacing w:after="0"/>
              <w:rPr>
                <w:sz w:val="24"/>
                <w:szCs w:val="24"/>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Issue of Pre-IPO Shares;</w:t>
            </w:r>
          </w:p>
        </w:tc>
      </w:tr>
      <w:tr>
        <w:trPr>
          <w:trHeight w:val="216"/>
        </w:trPr>
        <w:tc>
          <w:tcPr>
            <w:tcW w:w="36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Issue of IPO Shares;</w:t>
            </w:r>
          </w:p>
        </w:tc>
      </w:tr>
      <w:tr>
        <w:trPr>
          <w:trHeight w:val="216"/>
        </w:trPr>
        <w:tc>
          <w:tcPr>
            <w:tcW w:w="366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Issue of Offer Shares; and</w:t>
            </w:r>
          </w:p>
        </w:tc>
      </w:tr>
      <w:tr>
        <w:trPr>
          <w:trHeight w:val="234"/>
        </w:trPr>
        <w:tc>
          <w:tcPr>
            <w:tcW w:w="366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d.</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Issue of Consideration Shares.</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eIDAS Regulation</w:t>
            </w:r>
            <w:r>
              <w:rPr>
                <w:rFonts w:ascii="Times New Roman" w:cs="Times New Roman" w:eastAsia="Times New Roman" w:hAnsi="Times New Roman"/>
                <w:sz w:val="18"/>
                <w:szCs w:val="18"/>
                <w:color w:val="auto"/>
              </w:rPr>
              <w:t>”</w:t>
            </w: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Regulation (EU) No 910/2014 of the European Parliament and of the Council of 23 July</w:t>
            </w:r>
          </w:p>
        </w:tc>
      </w:tr>
      <w:tr>
        <w:trPr>
          <w:trHeight w:val="216"/>
        </w:trPr>
        <w:tc>
          <w:tcPr>
            <w:tcW w:w="3660" w:type="dxa"/>
            <w:vAlign w:val="bottom"/>
          </w:tcPr>
          <w:p>
            <w:pPr>
              <w:spacing w:after="0"/>
              <w:rPr>
                <w:sz w:val="18"/>
                <w:szCs w:val="18"/>
                <w:color w:val="auto"/>
              </w:rPr>
            </w:pP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2014 on electronic identification and trust services for electronic transactions in the</w:t>
            </w:r>
          </w:p>
        </w:tc>
      </w:tr>
      <w:tr>
        <w:trPr>
          <w:trHeight w:val="234"/>
        </w:trPr>
        <w:tc>
          <w:tcPr>
            <w:tcW w:w="3660" w:type="dxa"/>
            <w:vAlign w:val="bottom"/>
          </w:tcPr>
          <w:p>
            <w:pPr>
              <w:spacing w:after="0"/>
              <w:rPr>
                <w:sz w:val="20"/>
                <w:szCs w:val="20"/>
                <w:color w:val="auto"/>
              </w:rPr>
            </w:pPr>
          </w:p>
        </w:tc>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internal market and repealing Directive 1999/93/EC.</w:t>
            </w:r>
          </w:p>
        </w:tc>
      </w:tr>
      <w:tr>
        <w:trPr>
          <w:trHeight w:val="398"/>
        </w:trPr>
        <w:tc>
          <w:tcPr>
            <w:tcW w:w="3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0760"/>
          </w:cols>
          <w:pgMar w:left="800" w:top="477" w:right="339" w:bottom="1440" w:gutter="0" w:footer="0" w:header="0"/>
        </w:sect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766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10</w:t>
            </w:r>
          </w:p>
        </w:tc>
      </w:tr>
      <w:tr>
        <w:trPr>
          <w:trHeight w:val="42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Proceedings</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Any insolvency proceedings within the meaning of Regulation (EU) 2015/848 of the</w:t>
            </w:r>
          </w:p>
        </w:tc>
      </w:tr>
      <w:tr>
        <w:trPr>
          <w:trHeight w:val="216"/>
        </w:trPr>
        <w:tc>
          <w:tcPr>
            <w:tcW w:w="3100" w:type="dxa"/>
            <w:vAlign w:val="bottom"/>
          </w:tcPr>
          <w:p>
            <w:pPr>
              <w:spacing w:after="0"/>
              <w:rPr>
                <w:sz w:val="18"/>
                <w:szCs w:val="18"/>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European Parliament and of the Council of 20 May 2015 on insolvency proceedings</w:t>
            </w:r>
          </w:p>
        </w:tc>
      </w:tr>
      <w:tr>
        <w:trPr>
          <w:trHeight w:val="216"/>
        </w:trPr>
        <w:tc>
          <w:tcPr>
            <w:tcW w:w="3100" w:type="dxa"/>
            <w:vAlign w:val="bottom"/>
          </w:tcPr>
          <w:p>
            <w:pPr>
              <w:spacing w:after="0"/>
              <w:rPr>
                <w:sz w:val="18"/>
                <w:szCs w:val="18"/>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(recast), as amended by Regulation (EU) 2021/2260 of the European Parliament and of</w:t>
            </w:r>
          </w:p>
        </w:tc>
      </w:tr>
      <w:tr>
        <w:trPr>
          <w:trHeight w:val="214"/>
        </w:trPr>
        <w:tc>
          <w:tcPr>
            <w:tcW w:w="3100" w:type="dxa"/>
            <w:vAlign w:val="bottom"/>
          </w:tcPr>
          <w:p>
            <w:pPr>
              <w:spacing w:after="0"/>
              <w:rPr>
                <w:sz w:val="18"/>
                <w:szCs w:val="18"/>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Counsel of 15 December 2021, listed in Annex A thereto and any statutory</w:t>
            </w:r>
          </w:p>
        </w:tc>
      </w:tr>
      <w:tr>
        <w:trPr>
          <w:trHeight w:val="218"/>
        </w:trPr>
        <w:tc>
          <w:tcPr>
            <w:tcW w:w="3100" w:type="dxa"/>
            <w:vAlign w:val="bottom"/>
          </w:tcPr>
          <w:p>
            <w:pPr>
              <w:spacing w:after="0"/>
              <w:rPr>
                <w:sz w:val="18"/>
                <w:szCs w:val="18"/>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proceedings for the restructuring of debts (</w:t>
            </w:r>
            <w:r>
              <w:rPr>
                <w:rFonts w:ascii="Times New Roman" w:cs="Times New Roman" w:eastAsia="Times New Roman" w:hAnsi="Times New Roman"/>
                <w:sz w:val="18"/>
                <w:szCs w:val="18"/>
                <w:i w:val="1"/>
                <w:iCs w:val="1"/>
                <w:color w:val="auto"/>
              </w:rPr>
              <w:t>akkoordprocedure</w:t>
            </w:r>
            <w:r>
              <w:rPr>
                <w:rFonts w:ascii="Times New Roman" w:cs="Times New Roman" w:eastAsia="Times New Roman" w:hAnsi="Times New Roman"/>
                <w:sz w:val="18"/>
                <w:szCs w:val="18"/>
                <w:color w:val="auto"/>
              </w:rPr>
              <w:t>) pursuant to the Bankruptcy</w:t>
            </w:r>
          </w:p>
        </w:tc>
      </w:tr>
      <w:tr>
        <w:trPr>
          <w:trHeight w:val="234"/>
        </w:trPr>
        <w:tc>
          <w:tcPr>
            <w:tcW w:w="3100" w:type="dxa"/>
            <w:vAlign w:val="bottom"/>
          </w:tcPr>
          <w:p>
            <w:pPr>
              <w:spacing w:after="0"/>
              <w:rPr>
                <w:sz w:val="20"/>
                <w:szCs w:val="20"/>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Code.</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NautaDutilh</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NautaDutilh N.V.</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Netherlands</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European territory of the Kingdom of the Netherlands and “</w:t>
            </w:r>
            <w:r>
              <w:rPr>
                <w:rFonts w:ascii="Times New Roman" w:cs="Times New Roman" w:eastAsia="Times New Roman" w:hAnsi="Times New Roman"/>
                <w:sz w:val="18"/>
                <w:szCs w:val="18"/>
                <w:b w:val="1"/>
                <w:bCs w:val="1"/>
                <w:color w:val="auto"/>
              </w:rPr>
              <w:t>Dutch</w:t>
            </w:r>
            <w:r>
              <w:rPr>
                <w:rFonts w:ascii="Times New Roman" w:cs="Times New Roman" w:eastAsia="Times New Roman" w:hAnsi="Times New Roman"/>
                <w:sz w:val="18"/>
                <w:szCs w:val="18"/>
                <w:color w:val="auto"/>
              </w:rPr>
              <w:t>” is in or from the</w:t>
            </w:r>
          </w:p>
        </w:tc>
      </w:tr>
      <w:tr>
        <w:trPr>
          <w:trHeight w:val="234"/>
        </w:trPr>
        <w:tc>
          <w:tcPr>
            <w:tcW w:w="3100" w:type="dxa"/>
            <w:vAlign w:val="bottom"/>
          </w:tcPr>
          <w:p>
            <w:pPr>
              <w:spacing w:after="0"/>
              <w:rPr>
                <w:sz w:val="20"/>
                <w:szCs w:val="20"/>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Netherlands.</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Options for Ordinary Shares issued by the Company.</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1,339,663 Ordinary Shares underlying Options.</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Ordinary shares in the Company’s capital, having a nominal value of EUR 0.10 each.</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Each power of attorney granted for purposes of the execution of the Deeds and/or any</w:t>
            </w:r>
          </w:p>
        </w:tc>
      </w:tr>
      <w:tr>
        <w:trPr>
          <w:trHeight w:val="214"/>
        </w:trPr>
        <w:tc>
          <w:tcPr>
            <w:tcW w:w="3100" w:type="dxa"/>
            <w:vAlign w:val="bottom"/>
          </w:tcPr>
          <w:p>
            <w:pPr>
              <w:spacing w:after="0"/>
              <w:rPr>
                <w:sz w:val="18"/>
                <w:szCs w:val="18"/>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Deed of Issue and each power of attorney granted for purposes of passing the resolutions</w:t>
            </w:r>
          </w:p>
        </w:tc>
      </w:tr>
      <w:tr>
        <w:trPr>
          <w:trHeight w:val="218"/>
        </w:trPr>
        <w:tc>
          <w:tcPr>
            <w:tcW w:w="3100" w:type="dxa"/>
            <w:vAlign w:val="bottom"/>
          </w:tcPr>
          <w:p>
            <w:pPr>
              <w:spacing w:after="0"/>
              <w:rPr>
                <w:sz w:val="18"/>
                <w:szCs w:val="18"/>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 the corporate body or bodies (</w:t>
            </w:r>
            <w:r>
              <w:rPr>
                <w:rFonts w:ascii="Times New Roman" w:cs="Times New Roman" w:eastAsia="Times New Roman" w:hAnsi="Times New Roman"/>
                <w:sz w:val="18"/>
                <w:szCs w:val="18"/>
                <w:i w:val="1"/>
                <w:iCs w:val="1"/>
                <w:color w:val="auto"/>
              </w:rPr>
              <w:t>organen</w:t>
            </w:r>
            <w:r>
              <w:rPr>
                <w:rFonts w:ascii="Times New Roman" w:cs="Times New Roman" w:eastAsia="Times New Roman" w:hAnsi="Times New Roman"/>
                <w:sz w:val="18"/>
                <w:szCs w:val="18"/>
                <w:color w:val="auto"/>
              </w:rPr>
              <w:t>) of the Company in order to execute and give</w:t>
            </w:r>
          </w:p>
        </w:tc>
      </w:tr>
      <w:tr>
        <w:trPr>
          <w:trHeight w:val="234"/>
        </w:trPr>
        <w:tc>
          <w:tcPr>
            <w:tcW w:w="3100" w:type="dxa"/>
            <w:vAlign w:val="bottom"/>
          </w:tcPr>
          <w:p>
            <w:pPr>
              <w:spacing w:after="0"/>
              <w:rPr>
                <w:sz w:val="20"/>
                <w:szCs w:val="20"/>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effect to the Deeds and any Deed of Issue.</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PRIIPs Regulation</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Regulation (EU) No 1286/2014 on key information documents for packaged retail and</w:t>
            </w:r>
          </w:p>
        </w:tc>
      </w:tr>
      <w:tr>
        <w:trPr>
          <w:trHeight w:val="234"/>
        </w:trPr>
        <w:tc>
          <w:tcPr>
            <w:tcW w:w="3100" w:type="dxa"/>
            <w:vAlign w:val="bottom"/>
          </w:tcPr>
          <w:p>
            <w:pPr>
              <w:spacing w:after="0"/>
              <w:rPr>
                <w:sz w:val="20"/>
                <w:szCs w:val="20"/>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insurance-based investment products (PRIIPs).</w:t>
            </w:r>
          </w:p>
        </w:tc>
      </w:tr>
      <w:tr>
        <w:trPr>
          <w:trHeight w:val="4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Regulation</w:t>
            </w:r>
            <w:r>
              <w:rPr>
                <w:rFonts w:ascii="Times New Roman" w:cs="Times New Roman" w:eastAsia="Times New Roman" w:hAnsi="Times New Roman"/>
                <w:sz w:val="18"/>
                <w:szCs w:val="18"/>
                <w:color w:val="auto"/>
              </w:rPr>
              <w:t>”</w:t>
            </w: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Regulation (EU) 2017/1129 of the European Parliament and of the Council of 14 June</w:t>
            </w:r>
          </w:p>
        </w:tc>
      </w:tr>
      <w:tr>
        <w:trPr>
          <w:trHeight w:val="216"/>
        </w:trPr>
        <w:tc>
          <w:tcPr>
            <w:tcW w:w="3100" w:type="dxa"/>
            <w:vAlign w:val="bottom"/>
          </w:tcPr>
          <w:p>
            <w:pPr>
              <w:spacing w:after="0"/>
              <w:rPr>
                <w:sz w:val="18"/>
                <w:szCs w:val="18"/>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2017 on the prospectus to be published when securities are offered to the public or</w:t>
            </w:r>
          </w:p>
        </w:tc>
      </w:tr>
      <w:tr>
        <w:trPr>
          <w:trHeight w:val="234"/>
        </w:trPr>
        <w:tc>
          <w:tcPr>
            <w:tcW w:w="3100" w:type="dxa"/>
            <w:vAlign w:val="bottom"/>
          </w:tcPr>
          <w:p>
            <w:pPr>
              <w:spacing w:after="0"/>
              <w:rPr>
                <w:sz w:val="20"/>
                <w:szCs w:val="20"/>
                <w:color w:val="auto"/>
              </w:rPr>
            </w:pPr>
          </w:p>
        </w:tc>
        <w:tc>
          <w:tcPr>
            <w:tcW w:w="76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admitted to trading on a regulated market, and repealing Directive 2003/71/EC.</w:t>
            </w:r>
          </w:p>
        </w:tc>
      </w:tr>
      <w:tr>
        <w:trPr>
          <w:trHeight w:val="398"/>
        </w:trPr>
        <w:tc>
          <w:tcPr>
            <w:tcW w:w="31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0760"/>
          </w:cols>
          <w:pgMar w:left="800" w:top="477" w:right="339" w:bottom="1440" w:gutter="0" w:footer="0" w:header="0"/>
        </w:sect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11</w:t>
            </w:r>
          </w:p>
        </w:tc>
      </w:tr>
      <w:tr>
        <w:trPr>
          <w:trHeight w:val="42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The Company’s prospectus supplement to the prospectus included in the Registration</w:t>
            </w:r>
          </w:p>
        </w:tc>
      </w:tr>
      <w:tr>
        <w:trPr>
          <w:trHeight w:val="234"/>
        </w:trPr>
        <w:tc>
          <w:tcPr>
            <w:tcW w:w="3120" w:type="dxa"/>
            <w:vAlign w:val="bottom"/>
          </w:tcPr>
          <w:p>
            <w:pPr>
              <w:spacing w:after="0"/>
              <w:rPr>
                <w:sz w:val="20"/>
                <w:szCs w:val="20"/>
                <w:color w:val="auto"/>
              </w:rPr>
            </w:pP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Statement, as filed with the SEC on or about December 5, 2025.</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Shares</w:t>
            </w:r>
            <w:r>
              <w:rPr>
                <w:rFonts w:ascii="Times New Roman" w:cs="Times New Roman" w:eastAsia="Times New Roman" w:hAnsi="Times New Roman"/>
                <w:sz w:val="18"/>
                <w:szCs w:val="18"/>
                <w:color w:val="auto"/>
              </w:rPr>
              <w:t>”</w:t>
            </w:r>
          </w:p>
        </w:tc>
        <w:tc>
          <w:tcPr>
            <w:tcW w:w="7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The following Ordinary Shares:</w:t>
            </w:r>
          </w:p>
        </w:tc>
      </w:tr>
      <w:tr>
        <w:trPr>
          <w:trHeight w:val="414"/>
        </w:trPr>
        <w:tc>
          <w:tcPr>
            <w:tcW w:w="312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27,805,200 Ordinary Shares, into which 17,378,250 ordinary shares in the</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Company’s capital, having a nominal value of EUR 0.16 each, were converted</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split pursuant to the Deed of Stock Split and which were issued pursuant to</w:t>
            </w:r>
          </w:p>
        </w:tc>
      </w:tr>
      <w:tr>
        <w:trPr>
          <w:trHeight w:val="234"/>
        </w:trPr>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Issue of Pre-IPO Shares;</w:t>
            </w:r>
          </w:p>
        </w:tc>
      </w:tr>
      <w:tr>
        <w:trPr>
          <w:trHeight w:val="414"/>
        </w:trPr>
        <w:tc>
          <w:tcPr>
            <w:tcW w:w="312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1,187,104  Ordinary  Shares,  into  which  741,940  ordinary  shares  in  the</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Company’s capital, having a nominal value of EUR 0.16 each, were converted</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split pursuant to the Deed of Stock Split and which were issued pursuant to</w:t>
            </w:r>
          </w:p>
        </w:tc>
      </w:tr>
      <w:tr>
        <w:trPr>
          <w:trHeight w:val="234"/>
        </w:trPr>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Deed of Issue of Pre-IPO Shares;</w:t>
            </w:r>
          </w:p>
        </w:tc>
      </w:tr>
      <w:tr>
        <w:trPr>
          <w:trHeight w:val="432"/>
        </w:trPr>
        <w:tc>
          <w:tcPr>
            <w:tcW w:w="312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700,000 Ordinary Shares issued pursuant to the Deed of Issue of IPO Shares; and</w:t>
            </w:r>
          </w:p>
        </w:tc>
      </w:tr>
      <w:tr>
        <w:trPr>
          <w:trHeight w:val="414"/>
        </w:trPr>
        <w:tc>
          <w:tcPr>
            <w:tcW w:w="312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10,835,718 Ordinary Shares issued pursuant to the Deed of Issue of Offer</w:t>
            </w:r>
          </w:p>
        </w:tc>
      </w:tr>
      <w:tr>
        <w:trPr>
          <w:trHeight w:val="234"/>
        </w:trPr>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r>
      <w:tr>
        <w:trPr>
          <w:trHeight w:val="414"/>
        </w:trPr>
        <w:tc>
          <w:tcPr>
            <w:tcW w:w="312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81,266,384  Ordinary  Shares  issued  pursuant  to  the  Deed  of  Issue  of</w:t>
            </w:r>
          </w:p>
        </w:tc>
      </w:tr>
      <w:tr>
        <w:trPr>
          <w:trHeight w:val="234"/>
        </w:trPr>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Consideration Shares; and</w:t>
            </w:r>
          </w:p>
        </w:tc>
      </w:tr>
      <w:tr>
        <w:trPr>
          <w:trHeight w:val="432"/>
        </w:trPr>
        <w:tc>
          <w:tcPr>
            <w:tcW w:w="3120" w:type="dxa"/>
            <w:vAlign w:val="bottom"/>
          </w:tcPr>
          <w:p>
            <w:pPr>
              <w:spacing w:after="0"/>
              <w:rPr>
                <w:sz w:val="24"/>
                <w:szCs w:val="24"/>
                <w:color w:val="auto"/>
              </w:rPr>
            </w:pPr>
          </w:p>
        </w:tc>
        <w:tc>
          <w:tcPr>
            <w:tcW w:w="17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w:t>
            </w:r>
          </w:p>
        </w:tc>
        <w:tc>
          <w:tcPr>
            <w:tcW w:w="5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Option Shares.</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The Company’s registration statement on Form S-3, as declared effective by SEC on</w:t>
            </w:r>
          </w:p>
        </w:tc>
      </w:tr>
      <w:tr>
        <w:trPr>
          <w:trHeight w:val="234"/>
        </w:trPr>
        <w:tc>
          <w:tcPr>
            <w:tcW w:w="3120" w:type="dxa"/>
            <w:vAlign w:val="bottom"/>
          </w:tcPr>
          <w:p>
            <w:pPr>
              <w:spacing w:after="0"/>
              <w:rPr>
                <w:sz w:val="20"/>
                <w:szCs w:val="20"/>
                <w:color w:val="auto"/>
              </w:rPr>
            </w:pP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September 29, 2025.</w:t>
            </w: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Moment</w:t>
            </w:r>
            <w:r>
              <w:rPr>
                <w:rFonts w:ascii="Times New Roman" w:cs="Times New Roman" w:eastAsia="Times New Roman" w:hAnsi="Times New Roman"/>
                <w:sz w:val="18"/>
                <w:szCs w:val="18"/>
                <w:color w:val="auto"/>
              </w:rPr>
              <w:t>”</w:t>
            </w: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Each time when one or more Options were issued and when one or more Registered</w:t>
            </w:r>
          </w:p>
        </w:tc>
      </w:tr>
      <w:tr>
        <w:trPr>
          <w:trHeight w:val="216"/>
        </w:trPr>
        <w:tc>
          <w:tcPr>
            <w:tcW w:w="3120" w:type="dxa"/>
            <w:vAlign w:val="bottom"/>
          </w:tcPr>
          <w:p>
            <w:pPr>
              <w:spacing w:after="0"/>
              <w:rPr>
                <w:sz w:val="18"/>
                <w:szCs w:val="18"/>
                <w:color w:val="auto"/>
              </w:rPr>
            </w:pP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Shares were or shall be, as applicable, issued by the Company pursuant to the execution</w:t>
            </w:r>
          </w:p>
        </w:tc>
      </w:tr>
      <w:tr>
        <w:trPr>
          <w:trHeight w:val="234"/>
        </w:trPr>
        <w:tc>
          <w:tcPr>
            <w:tcW w:w="3120" w:type="dxa"/>
            <w:vAlign w:val="bottom"/>
          </w:tcPr>
          <w:p>
            <w:pPr>
              <w:spacing w:after="0"/>
              <w:rPr>
                <w:sz w:val="20"/>
                <w:szCs w:val="20"/>
                <w:color w:val="auto"/>
              </w:rPr>
            </w:pP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of a Deed of Issue or the exercise of one or more Options.</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tc>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317"/>
        </w:trPr>
        <w:tc>
          <w:tcPr>
            <w:tcW w:w="3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3285490</wp:posOffset>
            </wp:positionH>
            <wp:positionV relativeFrom="page">
              <wp:posOffset>88900</wp:posOffset>
            </wp:positionV>
            <wp:extent cx="1285875"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22885"/>
                    </a:xfrm>
                    <a:prstGeom prst="rect">
                      <a:avLst/>
                    </a:prstGeom>
                    <a:noFill/>
                  </pic:spPr>
                </pic:pic>
              </a:graphicData>
            </a:graphic>
          </wp:anchor>
        </w:drawing>
      </w:r>
    </w:p>
    <w:sectPr>
      <w:pgSz w:w="11900" w:h="16838" w:orient="portrait"/>
      <w:cols w:equalWidth="0" w:num="1">
        <w:col w:w="10760"/>
      </w:cols>
      <w:pgMar w:left="800" w:top="4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5"/>
    </w:lvl>
  </w:abstractNum>
  <w:abstractNum w:abstractNumId="2">
    <w:nsid w:val="3D1B58BA"/>
    <w:multiLevelType w:val="hybridMultilevel"/>
    <w:lvl w:ilvl="0">
      <w:lvlJc w:val="left"/>
      <w:lvlText w:val="%1."/>
      <w:numFmt w:val="lowerLetter"/>
      <w:start w:val="11"/>
    </w:lvl>
  </w:abstractNum>
  <w:abstractNum w:abstractNumId="3">
    <w:nsid w:val="507ED7AB"/>
    <w:multiLevelType w:val="hybridMultilevel"/>
    <w:lvl w:ilvl="0">
      <w:lvlJc w:val="left"/>
      <w:lvlText w:val="%1."/>
      <w:numFmt w:val="lowerLetter"/>
      <w:start w:val="19"/>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upperLetter"/>
      <w:start w:val="1"/>
    </w:lvl>
  </w:abstractNum>
  <w:abstractNum w:abstractNumId="6">
    <w:nsid w:val="79E2A9E3"/>
    <w:multiLevelType w:val="hybridMultilevel"/>
    <w:lvl w:ilvl="0">
      <w:lvlJc w:val="left"/>
      <w:lvlText w:val="%1."/>
      <w:numFmt w:val="upperLetter"/>
      <w:start w:val="3"/>
    </w:lvl>
    <w:lvl w:ilvl="1">
      <w:lvlJc w:val="left"/>
      <w:lvlText w:val="%2."/>
      <w:numFmt w:val="lowerLetter"/>
      <w:start w:val="1"/>
    </w:lvl>
  </w:abstractNum>
  <w:abstractNum w:abstractNumId="7">
    <w:nsid w:val="7545E146"/>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2025-12-05T16:12:03Z</dcterms:created>
  <dcterms:modified xsi:type="dcterms:W3CDTF">2025-12-05T16:12:03Z</dcterms:modified>
</cp:coreProperties>
</file>