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5" w:lineRule="exact"/>
        <w:rPr>
          <w:sz w:val="24"/>
          <w:szCs w:val="24"/>
          <w:color w:val="auto"/>
        </w:rPr>
      </w:pPr>
    </w:p>
    <w:p>
      <w:pPr>
        <w:jc w:val="right"/>
        <w:ind w:right="139"/>
        <w:spacing w:after="0"/>
        <w:rPr>
          <w:sz w:val="20"/>
          <w:szCs w:val="20"/>
          <w:color w:val="auto"/>
        </w:rPr>
      </w:pPr>
      <w:r>
        <w:rPr>
          <w:rFonts w:ascii="Times New Roman" w:cs="Times New Roman" w:eastAsia="Times New Roman" w:hAnsi="Times New Roman"/>
          <w:sz w:val="17"/>
          <w:szCs w:val="17"/>
          <w:b w:val="1"/>
          <w:bCs w:val="1"/>
          <w:color w:val="auto"/>
        </w:rPr>
        <w:t>Filed Pursuant to Rule 424(b)(7)</w:t>
      </w:r>
    </w:p>
    <w:p>
      <w:pPr>
        <w:spacing w:after="0" w:line="24" w:lineRule="exact"/>
        <w:rPr>
          <w:sz w:val="24"/>
          <w:szCs w:val="24"/>
          <w:color w:val="auto"/>
        </w:rPr>
      </w:pPr>
    </w:p>
    <w:p>
      <w:pPr>
        <w:jc w:val="right"/>
        <w:ind w:right="139"/>
        <w:spacing w:after="0"/>
        <w:rPr>
          <w:sz w:val="20"/>
          <w:szCs w:val="20"/>
          <w:color w:val="auto"/>
        </w:rPr>
      </w:pPr>
      <w:r>
        <w:rPr>
          <w:rFonts w:ascii="Times New Roman" w:cs="Times New Roman" w:eastAsia="Times New Roman" w:hAnsi="Times New Roman"/>
          <w:sz w:val="17"/>
          <w:szCs w:val="17"/>
          <w:b w:val="1"/>
          <w:bCs w:val="1"/>
          <w:color w:val="auto"/>
        </w:rPr>
        <w:t>Registration No. 333-290592</w:t>
      </w:r>
    </w:p>
    <w:p>
      <w:pPr>
        <w:spacing w:after="0" w:line="200" w:lineRule="exact"/>
        <w:rPr>
          <w:sz w:val="24"/>
          <w:szCs w:val="24"/>
          <w:color w:val="auto"/>
        </w:rPr>
      </w:pPr>
    </w:p>
    <w:p>
      <w:pPr>
        <w:spacing w:after="0" w:line="30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(to Prospectus dated September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1645920</wp:posOffset>
            </wp:positionH>
            <wp:positionV relativeFrom="paragraph">
              <wp:posOffset>340995</wp:posOffset>
            </wp:positionV>
            <wp:extent cx="2428240" cy="473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8240" cy="473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123,134,069 Common Shares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for the Securityholders Named Herein Pursuant to the Registration Rights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In Connection with the Completed Acquisition of Beckley Psytech</w:t>
      </w:r>
    </w:p>
    <w:p>
      <w:pPr>
        <w:spacing w:after="0" w:line="80" w:lineRule="exact"/>
        <w:rPr>
          <w:sz w:val="24"/>
          <w:szCs w:val="24"/>
          <w:color w:val="auto"/>
        </w:rPr>
      </w:pPr>
    </w:p>
    <w:p>
      <w:pPr>
        <w:jc w:val="both"/>
        <w:ind w:left="140" w:right="139" w:firstLine="331"/>
        <w:spacing w:after="0" w:line="248" w:lineRule="auto"/>
        <w:rPr>
          <w:sz w:val="20"/>
          <w:szCs w:val="20"/>
          <w:color w:val="auto"/>
        </w:rPr>
      </w:pPr>
      <w:r>
        <w:rPr>
          <w:rFonts w:ascii="Times New Roman" w:cs="Times New Roman" w:eastAsia="Times New Roman" w:hAnsi="Times New Roman"/>
          <w:sz w:val="17"/>
          <w:szCs w:val="17"/>
          <w:color w:val="auto"/>
        </w:rPr>
        <w:t>This prospectus supplement relates to an aggregate 123,134,069 of our common shares, nominal value €0.10 per share (“common shares”) that are already issued and outstanding and are now being registered to satisfy certain registration rights pursuant to that certain registration rights agreement, dated June 2, 2025 (the “Registration Rights Agreement”) and the related joinder agreements thereto. These common shares may be offered from time to time by the selling securityholders identified in the “selling securityholders” section of this prospectus supplement (the “selling securityholders”). We will not receive proceeds from any such sales and have agreed to pay certain registration expenses.</w:t>
      </w:r>
    </w:p>
    <w:p>
      <w:pPr>
        <w:spacing w:after="0" w:line="79" w:lineRule="exact"/>
        <w:rPr>
          <w:sz w:val="24"/>
          <w:szCs w:val="24"/>
          <w:color w:val="auto"/>
        </w:rPr>
      </w:pPr>
    </w:p>
    <w:p>
      <w:pPr>
        <w:jc w:val="both"/>
        <w:ind w:left="140" w:right="139" w:firstLine="331"/>
        <w:spacing w:after="0" w:line="247" w:lineRule="auto"/>
        <w:rPr>
          <w:sz w:val="20"/>
          <w:szCs w:val="20"/>
          <w:color w:val="auto"/>
        </w:rPr>
      </w:pPr>
      <w:r>
        <w:rPr>
          <w:rFonts w:ascii="Times New Roman" w:cs="Times New Roman" w:eastAsia="Times New Roman" w:hAnsi="Times New Roman"/>
          <w:sz w:val="17"/>
          <w:szCs w:val="17"/>
          <w:color w:val="auto"/>
        </w:rPr>
        <w:t>The registration of 123,134,069 of our common shares relates to (i) 81,266,384 common shares received by certain of the selling securityholders in connection with the Share Purchase Agreement, dated June 2, 2025, among us, Beckley Psytech Limited (“Beckley Psytech”) and certain other parties thereto (as amended by the Side Letter Deed to the Share Purchase Agreement, dated October 23, 2025, the “SPA”), relating to our acquisition of the entire issued share capital of Beckley Psytech not already owned by us, which closed on November 5, 2025 (the “Acquisition”) and (ii) 41,867,685 common shares held by Apeiron Holders (as defined in the Registration Rights Agreement). These common shares are being registered pursuant to the registration rights we respectively granted to such selling securityholders in the Registration Rights Agreement.</w:t>
      </w:r>
    </w:p>
    <w:p>
      <w:pPr>
        <w:spacing w:after="0" w:line="82" w:lineRule="exact"/>
        <w:rPr>
          <w:sz w:val="24"/>
          <w:szCs w:val="24"/>
          <w:color w:val="auto"/>
        </w:rPr>
      </w:pPr>
    </w:p>
    <w:p>
      <w:pPr>
        <w:jc w:val="both"/>
        <w:ind w:left="140" w:right="139" w:firstLine="331"/>
        <w:spacing w:after="0" w:line="247" w:lineRule="auto"/>
        <w:rPr>
          <w:sz w:val="20"/>
          <w:szCs w:val="20"/>
          <w:color w:val="auto"/>
        </w:rPr>
      </w:pPr>
      <w:r>
        <w:rPr>
          <w:rFonts w:ascii="Times New Roman" w:cs="Times New Roman" w:eastAsia="Times New Roman" w:hAnsi="Times New Roman"/>
          <w:sz w:val="17"/>
          <w:szCs w:val="17"/>
          <w:color w:val="auto"/>
        </w:rPr>
        <w:t>The selling securityholders may offer and sell from time to time, together or separately, the common shares described in this prospectus supplement and the accompanying prospectus through one or more underwriters, dealers and agents, or directly to purchasers, or through a combination of these methods. If any underwriters, dealers or agents are involved in the sale of any of the common shares, their names and any applicable purchase price, fee, commission or discount arrangement between or among them will be set forth, or will be calculable from the information set forth, in the applicable prospectus supplement. See the sections of this prospectus supplement entitled “About this Prospectus Supplement,” “Use of Proceeds” and “Plan of Distribution” for more information. No securities may be sold without delivery of this prospectus supplement and the accompanying prospectus describing the method and terms of the offering of such securities.</w:t>
      </w:r>
    </w:p>
    <w:p>
      <w:pPr>
        <w:spacing w:after="0" w:line="79" w:lineRule="exact"/>
        <w:rPr>
          <w:sz w:val="24"/>
          <w:szCs w:val="24"/>
          <w:color w:val="auto"/>
        </w:rPr>
      </w:pPr>
    </w:p>
    <w:p>
      <w:pPr>
        <w:jc w:val="both"/>
        <w:ind w:left="140" w:right="139" w:firstLine="331"/>
        <w:spacing w:after="0" w:line="268" w:lineRule="auto"/>
        <w:rPr>
          <w:sz w:val="20"/>
          <w:szCs w:val="20"/>
          <w:color w:val="auto"/>
        </w:rPr>
      </w:pPr>
      <w:r>
        <w:rPr>
          <w:rFonts w:ascii="Times New Roman" w:cs="Times New Roman" w:eastAsia="Times New Roman" w:hAnsi="Times New Roman"/>
          <w:sz w:val="17"/>
          <w:szCs w:val="17"/>
          <w:color w:val="auto"/>
        </w:rPr>
        <w:t>Our common shares are listed on the Nasdaq Global Market under the symbol “ATAI.” On December 4, 2025, the last reported sale price of our common shares on the Nasdaq Global Market was $4.40 per share.</w:t>
      </w:r>
    </w:p>
    <w:p>
      <w:pPr>
        <w:spacing w:after="0" w:line="56" w:lineRule="exact"/>
        <w:rPr>
          <w:sz w:val="24"/>
          <w:szCs w:val="24"/>
          <w:color w:val="auto"/>
        </w:rPr>
      </w:pPr>
    </w:p>
    <w:p>
      <w:pPr>
        <w:jc w:val="both"/>
        <w:ind w:left="140" w:right="139" w:firstLine="331"/>
        <w:spacing w:after="0" w:line="258"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on page S-</w:t>
      </w:r>
      <w:r>
        <w:rPr>
          <w:rFonts w:ascii="Times New Roman" w:cs="Times New Roman" w:eastAsia="Times New Roman" w:hAnsi="Times New Roman"/>
          <w:sz w:val="17"/>
          <w:szCs w:val="17"/>
          <w:b w:val="1"/>
          <w:bCs w:val="1"/>
          <w:u w:val="single" w:color="auto"/>
          <w:color w:val="0000EE"/>
        </w:rPr>
        <w:t>6</w:t>
      </w:r>
      <w:r>
        <w:rPr>
          <w:rFonts w:ascii="Times New Roman" w:cs="Times New Roman" w:eastAsia="Times New Roman" w:hAnsi="Times New Roman"/>
          <w:sz w:val="17"/>
          <w:szCs w:val="17"/>
          <w:b w:val="1"/>
          <w:bCs w:val="1"/>
          <w:color w:val="auto"/>
        </w:rPr>
        <w:t xml:space="preserve"> of this prospectus supplement, in the similar section contained in the accompanying prospectus and in the documents incorporated by reference in this prospectus supplement concerning factors you should consider before investing in our securities.</w:t>
      </w:r>
    </w:p>
    <w:p>
      <w:pPr>
        <w:spacing w:after="0" w:line="65" w:lineRule="exact"/>
        <w:rPr>
          <w:sz w:val="24"/>
          <w:szCs w:val="24"/>
          <w:color w:val="auto"/>
        </w:rPr>
      </w:pPr>
    </w:p>
    <w:p>
      <w:pPr>
        <w:jc w:val="both"/>
        <w:ind w:left="140" w:right="159" w:firstLine="331"/>
        <w:spacing w:after="0" w:line="25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ectPr>
          <w:pgSz w:w="11900" w:h="16838" w:orient="portrait"/>
          <w:cols w:equalWidth="0" w:num="1">
            <w:col w:w="9019"/>
          </w:cols>
          <w:pgMar w:left="1440" w:top="21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December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-356235</wp:posOffset>
            </wp:positionH>
            <wp:positionV relativeFrom="paragraph">
              <wp:posOffset>125095</wp:posOffset>
            </wp:positionV>
            <wp:extent cx="643382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17" w:right="1440" w:bottom="144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149"/>
        </w:trPr>
        <w:tc>
          <w:tcPr>
            <w:tcW w:w="7140" w:type="dxa"/>
            <w:vAlign w:val="bottom"/>
            <w:gridSpan w:val="19"/>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1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 SUPPLEMENT</w:t>
            </w:r>
          </w:p>
        </w:tc>
        <w:tc>
          <w:tcPr>
            <w:tcW w:w="280" w:type="dxa"/>
            <w:vAlign w:val="bottom"/>
            <w:shd w:val="clear" w:color="auto" w:fill="CCEEFF"/>
          </w:tcPr>
          <w:p>
            <w:pPr>
              <w:spacing w:after="0"/>
              <w:rPr>
                <w:sz w:val="24"/>
                <w:szCs w:val="24"/>
                <w:color w:val="auto"/>
              </w:rPr>
            </w:pPr>
          </w:p>
        </w:tc>
        <w:tc>
          <w:tcPr>
            <w:tcW w:w="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rPr>
              <w:t>S-1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Borders>
              <w:top w:val="single" w:sz="8" w:color="0000EE"/>
            </w:tcBorders>
            <w:gridSpan w:val="14"/>
          </w:tcPr>
          <w:p>
            <w:pPr>
              <w:spacing w:after="0" w:line="174" w:lineRule="exact"/>
              <w:rPr>
                <w:sz w:val="20"/>
                <w:szCs w:val="20"/>
                <w:color w:val="auto"/>
              </w:rPr>
            </w:pPr>
            <w:r>
              <w:rPr>
                <w:rFonts w:ascii="Times New Roman" w:cs="Times New Roman" w:eastAsia="Times New Roman" w:hAnsi="Times New Roman"/>
                <w:sz w:val="17"/>
                <w:szCs w:val="17"/>
                <w:color w:val="0000EE"/>
              </w:rPr>
              <w:t>TRADEMARKS</w:t>
            </w:r>
          </w:p>
        </w:tc>
        <w:tc>
          <w:tcPr>
            <w:tcW w:w="4000" w:type="dxa"/>
            <w:vAlign w:val="bottom"/>
            <w:tcBorders>
              <w:top w:val="single" w:sz="8" w:color="CCEEFF"/>
            </w:tcBorders>
            <w:gridSpan w:val="4"/>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40" w:type="dxa"/>
            <w:vAlign w:val="bottom"/>
            <w:tcBorders>
              <w:top w:val="single" w:sz="8" w:color="0000EE"/>
            </w:tcBorders>
            <w:gridSpan w:val="3"/>
          </w:tcPr>
          <w:p>
            <w:pPr>
              <w:spacing w:after="0" w:line="174" w:lineRule="exact"/>
              <w:rPr>
                <w:sz w:val="20"/>
                <w:szCs w:val="20"/>
                <w:color w:val="auto"/>
              </w:rPr>
            </w:pPr>
            <w:r>
              <w:rPr>
                <w:rFonts w:ascii="Times New Roman" w:cs="Times New Roman" w:eastAsia="Times New Roman" w:hAnsi="Times New Roman"/>
                <w:sz w:val="17"/>
                <w:szCs w:val="17"/>
                <w:color w:val="0000EE"/>
                <w:w w:val="92"/>
              </w:rPr>
              <w:t>S-2</w:t>
            </w:r>
          </w:p>
        </w:tc>
        <w:tc>
          <w:tcPr>
            <w:tcW w:w="8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tcBorders>
              <w:bottom w:val="single" w:sz="8" w:color="0000EE"/>
            </w:tcBorders>
            <w:gridSpan w:val="17"/>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6"/>
              </w:rPr>
              <w:t>WHERE YOU CAN FIND MORE INFORMATION; INCORPORATION BY REFERENCE</w:t>
            </w: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2"/>
              </w:rPr>
              <w:t>S-3</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gridSpan w:val="18"/>
          </w:tcPr>
          <w:p>
            <w:pPr>
              <w:spacing w:after="0" w:line="174" w:lineRule="exact"/>
              <w:rPr>
                <w:sz w:val="20"/>
                <w:szCs w:val="20"/>
                <w:color w:val="auto"/>
              </w:rPr>
            </w:pPr>
            <w:r>
              <w:rPr>
                <w:rFonts w:ascii="Times New Roman" w:cs="Times New Roman" w:eastAsia="Times New Roman" w:hAnsi="Times New Roman"/>
                <w:sz w:val="17"/>
                <w:szCs w:val="17"/>
                <w:color w:val="0000EE"/>
              </w:rPr>
              <w:t>THE COMPANY</w:t>
            </w:r>
          </w:p>
        </w:tc>
        <w:tc>
          <w:tcPr>
            <w:tcW w:w="280" w:type="dxa"/>
            <w:vAlign w:val="bottom"/>
          </w:tcPr>
          <w:p>
            <w:pPr>
              <w:spacing w:after="0"/>
              <w:rPr>
                <w:sz w:val="15"/>
                <w:szCs w:val="15"/>
                <w:color w:val="auto"/>
              </w:rPr>
            </w:pPr>
          </w:p>
        </w:tc>
        <w:tc>
          <w:tcPr>
            <w:tcW w:w="320" w:type="dxa"/>
            <w:vAlign w:val="bottom"/>
            <w:gridSpan w:val="5"/>
          </w:tcPr>
          <w:p>
            <w:pPr>
              <w:spacing w:after="0" w:line="174" w:lineRule="exact"/>
              <w:rPr>
                <w:sz w:val="20"/>
                <w:szCs w:val="20"/>
                <w:color w:val="auto"/>
              </w:rPr>
            </w:pPr>
            <w:r>
              <w:rPr>
                <w:rFonts w:ascii="Times New Roman" w:cs="Times New Roman" w:eastAsia="Times New Roman" w:hAnsi="Times New Roman"/>
                <w:sz w:val="17"/>
                <w:szCs w:val="17"/>
                <w:color w:val="0000EE"/>
              </w:rPr>
              <w:t>S-5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120" w:type="dxa"/>
            <w:vAlign w:val="bottom"/>
            <w:tcBorders>
              <w:bottom w:val="single" w:sz="8" w:color="0000EE"/>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2"/>
              </w:rPr>
              <w:t>RISK FACTORS</w:t>
            </w:r>
          </w:p>
        </w:tc>
        <w:tc>
          <w:tcPr>
            <w:tcW w:w="6000" w:type="dxa"/>
            <w:vAlign w:val="bottom"/>
            <w:tcBorders>
              <w:bottom w:val="single" w:sz="8" w:color="CCEEFF"/>
            </w:tcBorders>
            <w:gridSpan w:val="16"/>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2"/>
              </w:rPr>
              <w:t>S-6</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gridSpan w:val="18"/>
          </w:tcPr>
          <w:p>
            <w:pPr>
              <w:spacing w:after="0" w:line="174"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280" w:type="dxa"/>
            <w:vAlign w:val="bottom"/>
          </w:tcPr>
          <w:p>
            <w:pPr>
              <w:spacing w:after="0"/>
              <w:rPr>
                <w:sz w:val="15"/>
                <w:szCs w:val="15"/>
                <w:color w:val="auto"/>
              </w:rPr>
            </w:pPr>
          </w:p>
        </w:tc>
        <w:tc>
          <w:tcPr>
            <w:tcW w:w="320" w:type="dxa"/>
            <w:vAlign w:val="bottom"/>
            <w:gridSpan w:val="5"/>
          </w:tcPr>
          <w:p>
            <w:pPr>
              <w:spacing w:after="0" w:line="174" w:lineRule="exact"/>
              <w:rPr>
                <w:sz w:val="20"/>
                <w:szCs w:val="20"/>
                <w:color w:val="auto"/>
              </w:rPr>
            </w:pPr>
            <w:r>
              <w:rPr>
                <w:rFonts w:ascii="Times New Roman" w:cs="Times New Roman" w:eastAsia="Times New Roman" w:hAnsi="Times New Roman"/>
                <w:sz w:val="17"/>
                <w:szCs w:val="17"/>
                <w:color w:val="0000EE"/>
              </w:rPr>
              <w:t>S-7</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8"/>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USE OF PROCEEDS</w:t>
            </w:r>
          </w:p>
        </w:tc>
        <w:tc>
          <w:tcPr>
            <w:tcW w:w="280" w:type="dxa"/>
            <w:vAlign w:val="bottom"/>
            <w:shd w:val="clear" w:color="auto" w:fill="CCEEFF"/>
          </w:tcPr>
          <w:p>
            <w:pPr>
              <w:spacing w:after="0"/>
              <w:rPr>
                <w:sz w:val="15"/>
                <w:szCs w:val="15"/>
                <w:color w:val="auto"/>
              </w:rPr>
            </w:pPr>
          </w:p>
        </w:tc>
        <w:tc>
          <w:tcPr>
            <w:tcW w:w="320" w:type="dxa"/>
            <w:vAlign w:val="bottom"/>
            <w:gridSpan w:val="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S-9</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8"/>
          </w:tcPr>
          <w:p>
            <w:pPr>
              <w:spacing w:after="0" w:line="174" w:lineRule="exact"/>
              <w:rPr>
                <w:sz w:val="20"/>
                <w:szCs w:val="20"/>
                <w:color w:val="auto"/>
              </w:rPr>
            </w:pPr>
            <w:r>
              <w:rPr>
                <w:rFonts w:ascii="Times New Roman" w:cs="Times New Roman" w:eastAsia="Times New Roman" w:hAnsi="Times New Roman"/>
                <w:sz w:val="17"/>
                <w:szCs w:val="17"/>
                <w:color w:val="0000EE"/>
              </w:rPr>
              <w:t>SELLING SECURITYHOLDERS</w:t>
            </w:r>
          </w:p>
        </w:tc>
        <w:tc>
          <w:tcPr>
            <w:tcW w:w="280" w:type="dxa"/>
            <w:vAlign w:val="bottom"/>
          </w:tcPr>
          <w:p>
            <w:pPr>
              <w:spacing w:after="0"/>
              <w:rPr>
                <w:sz w:val="15"/>
                <w:szCs w:val="15"/>
                <w:color w:val="auto"/>
              </w:rPr>
            </w:pPr>
          </w:p>
        </w:tc>
        <w:tc>
          <w:tcPr>
            <w:tcW w:w="320" w:type="dxa"/>
            <w:vAlign w:val="bottom"/>
            <w:gridSpan w:val="5"/>
          </w:tcPr>
          <w:p>
            <w:pPr>
              <w:spacing w:after="0" w:line="174" w:lineRule="exact"/>
              <w:rPr>
                <w:sz w:val="20"/>
                <w:szCs w:val="20"/>
                <w:color w:val="auto"/>
              </w:rPr>
            </w:pPr>
            <w:r>
              <w:rPr>
                <w:rFonts w:ascii="Times New Roman" w:cs="Times New Roman" w:eastAsia="Times New Roman" w:hAnsi="Times New Roman"/>
                <w:sz w:val="17"/>
                <w:szCs w:val="17"/>
                <w:color w:val="0000EE"/>
                <w:w w:val="93"/>
              </w:rPr>
              <w:t>S-10</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860" w:type="dxa"/>
            <w:vAlign w:val="bottom"/>
            <w:gridSpan w:val="9"/>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5"/>
              </w:rPr>
              <w:t>PLAN OF DISTRIBUTION</w:t>
            </w:r>
          </w:p>
        </w:tc>
        <w:tc>
          <w:tcPr>
            <w:tcW w:w="5260" w:type="dxa"/>
            <w:vAlign w:val="bottom"/>
            <w:gridSpan w:val="9"/>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gridSpan w:val="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3"/>
              </w:rPr>
              <w:t>S-22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860" w:type="dxa"/>
            <w:vAlign w:val="bottom"/>
            <w:gridSpan w:val="9"/>
          </w:tcPr>
          <w:p>
            <w:pPr>
              <w:spacing w:after="0" w:line="174" w:lineRule="exact"/>
              <w:rPr>
                <w:sz w:val="20"/>
                <w:szCs w:val="20"/>
                <w:color w:val="auto"/>
              </w:rPr>
            </w:pPr>
            <w:r>
              <w:rPr>
                <w:rFonts w:ascii="Times New Roman" w:cs="Times New Roman" w:eastAsia="Times New Roman" w:hAnsi="Times New Roman"/>
                <w:sz w:val="17"/>
                <w:szCs w:val="17"/>
                <w:color w:val="0000EE"/>
              </w:rPr>
              <w:t>LEGAL MATTERS</w:t>
            </w:r>
          </w:p>
        </w:tc>
        <w:tc>
          <w:tcPr>
            <w:tcW w:w="5260" w:type="dxa"/>
            <w:vAlign w:val="bottom"/>
            <w:gridSpan w:val="9"/>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gridSpan w:val="5"/>
          </w:tcPr>
          <w:p>
            <w:pPr>
              <w:spacing w:after="0" w:line="174" w:lineRule="exact"/>
              <w:rPr>
                <w:sz w:val="20"/>
                <w:szCs w:val="20"/>
                <w:color w:val="auto"/>
              </w:rPr>
            </w:pPr>
            <w:r>
              <w:rPr>
                <w:rFonts w:ascii="Times New Roman" w:cs="Times New Roman" w:eastAsia="Times New Roman" w:hAnsi="Times New Roman"/>
                <w:sz w:val="17"/>
                <w:szCs w:val="17"/>
                <w:color w:val="0000EE"/>
                <w:w w:val="93"/>
              </w:rPr>
              <w:t>S-25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8"/>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EXPERTS</w:t>
            </w:r>
          </w:p>
        </w:tc>
        <w:tc>
          <w:tcPr>
            <w:tcW w:w="280" w:type="dxa"/>
            <w:vAlign w:val="bottom"/>
            <w:shd w:val="clear" w:color="auto" w:fill="CCEEFF"/>
          </w:tcPr>
          <w:p>
            <w:pPr>
              <w:spacing w:after="0"/>
              <w:rPr>
                <w:sz w:val="15"/>
                <w:szCs w:val="15"/>
                <w:color w:val="auto"/>
              </w:rPr>
            </w:pPr>
          </w:p>
        </w:tc>
        <w:tc>
          <w:tcPr>
            <w:tcW w:w="320" w:type="dxa"/>
            <w:vAlign w:val="bottom"/>
            <w:gridSpan w:val="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3"/>
              </w:rPr>
              <w:t>S-25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00" w:type="dxa"/>
            <w:vAlign w:val="bottom"/>
            <w:gridSpan w:val="2"/>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1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8"/>
          </w:tcPr>
          <w:p>
            <w:pPr>
              <w:spacing w:after="0" w:line="174"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580" w:type="dxa"/>
            <w:vAlign w:val="bottom"/>
            <w:gridSpan w:val="5"/>
          </w:tcPr>
          <w:p>
            <w:pPr>
              <w:jc w:val="right"/>
              <w:spacing w:after="0" w:line="174" w:lineRule="exact"/>
              <w:rPr>
                <w:sz w:val="20"/>
                <w:szCs w:val="20"/>
                <w:color w:val="auto"/>
              </w:rPr>
            </w:pPr>
            <w:r>
              <w:rPr>
                <w:rFonts w:ascii="Times New Roman" w:cs="Times New Roman" w:eastAsia="Times New Roman" w:hAnsi="Times New Roman"/>
                <w:sz w:val="17"/>
                <w:szCs w:val="17"/>
                <w:color w:val="0000EE"/>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3"/>
              </w:rPr>
              <w:t>TRADEMARKS</w:t>
            </w:r>
          </w:p>
        </w:tc>
        <w:tc>
          <w:tcPr>
            <w:tcW w:w="6000" w:type="dxa"/>
            <w:vAlign w:val="bottom"/>
            <w:gridSpan w:val="16"/>
            <w:shd w:val="clear" w:color="auto" w:fill="CCEEFF"/>
          </w:tcPr>
          <w:p>
            <w:pPr>
              <w:spacing w:after="0"/>
              <w:rPr>
                <w:sz w:val="15"/>
                <w:szCs w:val="15"/>
                <w:color w:val="auto"/>
              </w:rPr>
            </w:pPr>
          </w:p>
        </w:tc>
        <w:tc>
          <w:tcPr>
            <w:tcW w:w="580" w:type="dxa"/>
            <w:vAlign w:val="bottom"/>
            <w:gridSpan w:val="5"/>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8"/>
          </w:tcPr>
          <w:p>
            <w:pPr>
              <w:spacing w:after="0" w:line="174" w:lineRule="exact"/>
              <w:rPr>
                <w:sz w:val="20"/>
                <w:szCs w:val="20"/>
                <w:color w:val="auto"/>
              </w:rPr>
            </w:pPr>
            <w:r>
              <w:rPr>
                <w:rFonts w:ascii="Times New Roman" w:cs="Times New Roman" w:eastAsia="Times New Roman" w:hAnsi="Times New Roman"/>
                <w:sz w:val="17"/>
                <w:szCs w:val="17"/>
                <w:color w:val="0000EE"/>
              </w:rPr>
              <w:t>WHERE YOU CAN FIND MORE INFORMATION; INCORPORATION BY REFERENCE</w:t>
            </w:r>
          </w:p>
        </w:tc>
        <w:tc>
          <w:tcPr>
            <w:tcW w:w="580" w:type="dxa"/>
            <w:vAlign w:val="bottom"/>
            <w:gridSpan w:val="5"/>
          </w:tcPr>
          <w:p>
            <w:pPr>
              <w:jc w:val="right"/>
              <w:spacing w:after="0" w:line="174" w:lineRule="exact"/>
              <w:rPr>
                <w:sz w:val="20"/>
                <w:szCs w:val="20"/>
                <w:color w:val="auto"/>
              </w:rPr>
            </w:pPr>
            <w:r>
              <w:rPr>
                <w:rFonts w:ascii="Times New Roman" w:cs="Times New Roman" w:eastAsia="Times New Roman" w:hAnsi="Times New Roman"/>
                <w:sz w:val="17"/>
                <w:szCs w:val="17"/>
                <w:color w:val="0000EE"/>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8"/>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THE COMPANY</w:t>
            </w:r>
          </w:p>
        </w:tc>
        <w:tc>
          <w:tcPr>
            <w:tcW w:w="580" w:type="dxa"/>
            <w:vAlign w:val="bottom"/>
            <w:gridSpan w:val="5"/>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40" w:type="dxa"/>
            <w:vAlign w:val="bottom"/>
            <w:gridSpan w:val="3"/>
          </w:tcPr>
          <w:p>
            <w:pPr>
              <w:spacing w:after="0" w:line="174" w:lineRule="exact"/>
              <w:rPr>
                <w:sz w:val="20"/>
                <w:szCs w:val="20"/>
                <w:color w:val="auto"/>
              </w:rPr>
            </w:pPr>
            <w:r>
              <w:rPr>
                <w:rFonts w:ascii="Times New Roman" w:cs="Times New Roman" w:eastAsia="Times New Roman" w:hAnsi="Times New Roman"/>
                <w:sz w:val="17"/>
                <w:szCs w:val="17"/>
                <w:color w:val="0000EE"/>
                <w:w w:val="93"/>
              </w:rPr>
              <w:t>RISK FACTORS</w:t>
            </w:r>
          </w:p>
        </w:tc>
        <w:tc>
          <w:tcPr>
            <w:tcW w:w="5980" w:type="dxa"/>
            <w:vAlign w:val="bottom"/>
            <w:gridSpan w:val="15"/>
          </w:tcPr>
          <w:p>
            <w:pPr>
              <w:spacing w:after="0"/>
              <w:rPr>
                <w:sz w:val="15"/>
                <w:szCs w:val="15"/>
                <w:color w:val="auto"/>
              </w:rPr>
            </w:pPr>
          </w:p>
        </w:tc>
        <w:tc>
          <w:tcPr>
            <w:tcW w:w="580" w:type="dxa"/>
            <w:vAlign w:val="bottom"/>
            <w:gridSpan w:val="5"/>
          </w:tcPr>
          <w:p>
            <w:pPr>
              <w:jc w:val="right"/>
              <w:spacing w:after="0" w:line="174" w:lineRule="exact"/>
              <w:rPr>
                <w:sz w:val="20"/>
                <w:szCs w:val="20"/>
                <w:color w:val="auto"/>
              </w:rPr>
            </w:pPr>
            <w:r>
              <w:rPr>
                <w:rFonts w:ascii="Times New Roman" w:cs="Times New Roman" w:eastAsia="Times New Roman" w:hAnsi="Times New Roman"/>
                <w:sz w:val="17"/>
                <w:szCs w:val="17"/>
                <w:color w:val="0000EE"/>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8"/>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USE OF PROCEEDS</w:t>
            </w:r>
          </w:p>
        </w:tc>
        <w:tc>
          <w:tcPr>
            <w:tcW w:w="580" w:type="dxa"/>
            <w:vAlign w:val="bottom"/>
            <w:gridSpan w:val="5"/>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8"/>
          </w:tcPr>
          <w:p>
            <w:pPr>
              <w:spacing w:after="0" w:line="174" w:lineRule="exact"/>
              <w:rPr>
                <w:sz w:val="20"/>
                <w:szCs w:val="20"/>
                <w:color w:val="auto"/>
              </w:rPr>
            </w:pPr>
            <w:r>
              <w:rPr>
                <w:rFonts w:ascii="Times New Roman" w:cs="Times New Roman" w:eastAsia="Times New Roman" w:hAnsi="Times New Roman"/>
                <w:sz w:val="17"/>
                <w:szCs w:val="17"/>
                <w:color w:val="0000EE"/>
              </w:rPr>
              <w:t>DESCRIPTION OF SHARE CAPITAL AND ARTICLES OF ASSOCIATION</w:t>
            </w:r>
          </w:p>
        </w:tc>
        <w:tc>
          <w:tcPr>
            <w:tcW w:w="580" w:type="dxa"/>
            <w:vAlign w:val="bottom"/>
            <w:gridSpan w:val="5"/>
          </w:tcPr>
          <w:p>
            <w:pPr>
              <w:jc w:val="right"/>
              <w:spacing w:after="0" w:line="174" w:lineRule="exact"/>
              <w:rPr>
                <w:sz w:val="20"/>
                <w:szCs w:val="20"/>
                <w:color w:val="auto"/>
              </w:rPr>
            </w:pPr>
            <w:r>
              <w:rPr>
                <w:rFonts w:ascii="Times New Roman" w:cs="Times New Roman" w:eastAsia="Times New Roman" w:hAnsi="Times New Roman"/>
                <w:sz w:val="17"/>
                <w:szCs w:val="17"/>
                <w:color w:val="0000EE"/>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60" w:type="dxa"/>
            <w:vAlign w:val="bottom"/>
            <w:tcBorders>
              <w:bottom w:val="single" w:sz="8" w:color="0000EE"/>
            </w:tcBorders>
            <w:gridSpan w:val="13"/>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5"/>
              </w:rPr>
              <w:t>DESCRIPTION OF DEBT SECURITIES</w:t>
            </w:r>
          </w:p>
        </w:tc>
        <w:tc>
          <w:tcPr>
            <w:tcW w:w="4360" w:type="dxa"/>
            <w:vAlign w:val="bottom"/>
            <w:tcBorders>
              <w:bottom w:val="single" w:sz="8" w:color="CCEEFF"/>
            </w:tcBorders>
            <w:gridSpan w:val="5"/>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w w:val="82"/>
              </w:rPr>
              <w:t>16</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gridSpan w:val="18"/>
          </w:tcPr>
          <w:p>
            <w:pPr>
              <w:spacing w:after="0" w:line="174" w:lineRule="exact"/>
              <w:rPr>
                <w:sz w:val="20"/>
                <w:szCs w:val="20"/>
                <w:color w:val="auto"/>
              </w:rPr>
            </w:pPr>
            <w:r>
              <w:rPr>
                <w:rFonts w:ascii="Times New Roman" w:cs="Times New Roman" w:eastAsia="Times New Roman" w:hAnsi="Times New Roman"/>
                <w:sz w:val="17"/>
                <w:szCs w:val="17"/>
                <w:color w:val="0000EE"/>
              </w:rPr>
              <w:t>DESCRIPTION OF WARRANTS</w:t>
            </w:r>
          </w:p>
        </w:tc>
        <w:tc>
          <w:tcPr>
            <w:tcW w:w="580" w:type="dxa"/>
            <w:vAlign w:val="bottom"/>
            <w:gridSpan w:val="5"/>
          </w:tcPr>
          <w:p>
            <w:pPr>
              <w:jc w:val="right"/>
              <w:spacing w:after="0" w:line="174" w:lineRule="exact"/>
              <w:rPr>
                <w:sz w:val="20"/>
                <w:szCs w:val="20"/>
                <w:color w:val="auto"/>
              </w:rPr>
            </w:pPr>
            <w:r>
              <w:rPr>
                <w:rFonts w:ascii="Times New Roman" w:cs="Times New Roman" w:eastAsia="Times New Roman" w:hAnsi="Times New Roman"/>
                <w:sz w:val="17"/>
                <w:szCs w:val="17"/>
                <w:color w:val="0000EE"/>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18"/>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DESCRIPTION OF UNITS</w:t>
            </w:r>
          </w:p>
        </w:tc>
        <w:tc>
          <w:tcPr>
            <w:tcW w:w="580" w:type="dxa"/>
            <w:vAlign w:val="bottom"/>
            <w:gridSpan w:val="5"/>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Borders>
              <w:top w:val="single" w:sz="8" w:color="0000EE"/>
            </w:tcBorders>
            <w:gridSpan w:val="8"/>
          </w:tcPr>
          <w:p>
            <w:pPr>
              <w:spacing w:after="0" w:line="174" w:lineRule="exact"/>
              <w:rPr>
                <w:sz w:val="20"/>
                <w:szCs w:val="20"/>
                <w:color w:val="auto"/>
              </w:rPr>
            </w:pPr>
            <w:r>
              <w:rPr>
                <w:rFonts w:ascii="Times New Roman" w:cs="Times New Roman" w:eastAsia="Times New Roman" w:hAnsi="Times New Roman"/>
                <w:sz w:val="17"/>
                <w:szCs w:val="17"/>
                <w:color w:val="0000EE"/>
              </w:rPr>
              <w:t>GLOBAL SECURITIES</w:t>
            </w:r>
          </w:p>
        </w:tc>
        <w:tc>
          <w:tcPr>
            <w:tcW w:w="5300" w:type="dxa"/>
            <w:vAlign w:val="bottom"/>
            <w:tcBorders>
              <w:top w:val="single" w:sz="8" w:color="CCEEFF"/>
            </w:tcBorders>
            <w:gridSpan w:val="10"/>
          </w:tcPr>
          <w:p>
            <w:pPr>
              <w:spacing w:after="0"/>
              <w:rPr>
                <w:sz w:val="15"/>
                <w:szCs w:val="15"/>
                <w:color w:val="auto"/>
              </w:rPr>
            </w:pPr>
          </w:p>
        </w:tc>
        <w:tc>
          <w:tcPr>
            <w:tcW w:w="420" w:type="dxa"/>
            <w:vAlign w:val="bottom"/>
            <w:tcBorders>
              <w:top w:val="single" w:sz="8" w:color="CCEEFF"/>
            </w:tcBorders>
            <w:gridSpan w:val="2"/>
          </w:tcPr>
          <w:p>
            <w:pPr>
              <w:spacing w:after="0"/>
              <w:rPr>
                <w:sz w:val="15"/>
                <w:szCs w:val="15"/>
                <w:color w:val="auto"/>
              </w:rPr>
            </w:pPr>
          </w:p>
        </w:tc>
        <w:tc>
          <w:tcPr>
            <w:tcW w:w="160" w:type="dxa"/>
            <w:vAlign w:val="bottom"/>
            <w:tcBorders>
              <w:top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0000EE"/>
                <w:w w:val="82"/>
              </w:rPr>
              <w:t>25</w:t>
            </w: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tcBorders>
              <w:bottom w:val="single" w:sz="8" w:color="0000EE"/>
            </w:tcBorders>
            <w:gridSpan w:val="1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5"/>
              </w:rPr>
              <w:t>SELLING SECURITYHOLDERS</w:t>
            </w:r>
          </w:p>
        </w:tc>
        <w:tc>
          <w:tcPr>
            <w:tcW w:w="4840" w:type="dxa"/>
            <w:vAlign w:val="bottom"/>
            <w:tcBorders>
              <w:bottom w:val="single" w:sz="8" w:color="CCEEFF"/>
            </w:tcBorders>
            <w:gridSpan w:val="6"/>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0000EE"/>
            </w:tcBorders>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w w:val="82"/>
              </w:rPr>
              <w:t>28</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gridSpan w:val="18"/>
          </w:tcPr>
          <w:p>
            <w:pPr>
              <w:spacing w:after="0" w:line="174" w:lineRule="exact"/>
              <w:rPr>
                <w:sz w:val="20"/>
                <w:szCs w:val="20"/>
                <w:color w:val="auto"/>
              </w:rPr>
            </w:pPr>
            <w:r>
              <w:rPr>
                <w:rFonts w:ascii="Times New Roman" w:cs="Times New Roman" w:eastAsia="Times New Roman" w:hAnsi="Times New Roman"/>
                <w:sz w:val="17"/>
                <w:szCs w:val="17"/>
                <w:color w:val="0000EE"/>
              </w:rPr>
              <w:t>PLAN OF DISTRIBUTION</w:t>
            </w:r>
          </w:p>
        </w:tc>
        <w:tc>
          <w:tcPr>
            <w:tcW w:w="580" w:type="dxa"/>
            <w:vAlign w:val="bottom"/>
            <w:gridSpan w:val="5"/>
          </w:tcPr>
          <w:p>
            <w:pPr>
              <w:jc w:val="right"/>
              <w:spacing w:after="0" w:line="174" w:lineRule="exact"/>
              <w:rPr>
                <w:sz w:val="20"/>
                <w:szCs w:val="20"/>
                <w:color w:val="auto"/>
              </w:rPr>
            </w:pPr>
            <w:r>
              <w:rPr>
                <w:rFonts w:ascii="Times New Roman" w:cs="Times New Roman" w:eastAsia="Times New Roman" w:hAnsi="Times New Roman"/>
                <w:sz w:val="17"/>
                <w:szCs w:val="17"/>
                <w:color w:val="0000EE"/>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18"/>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LEGAL MATTERS</w:t>
            </w:r>
          </w:p>
        </w:tc>
        <w:tc>
          <w:tcPr>
            <w:tcW w:w="580" w:type="dxa"/>
            <w:vAlign w:val="bottom"/>
            <w:gridSpan w:val="5"/>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34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0000EE"/>
            </w:tcBorders>
          </w:tcPr>
          <w:p>
            <w:pPr>
              <w:spacing w:after="0"/>
              <w:rPr>
                <w:sz w:val="15"/>
                <w:szCs w:val="15"/>
                <w:color w:val="auto"/>
              </w:rPr>
            </w:pPr>
          </w:p>
        </w:tc>
        <w:tc>
          <w:tcPr>
            <w:tcW w:w="680" w:type="dxa"/>
            <w:vAlign w:val="bottom"/>
            <w:tcBorders>
              <w:top w:val="single" w:sz="8" w:color="0000EE"/>
              <w:bottom w:val="single" w:sz="8" w:color="0000EE"/>
            </w:tcBorders>
          </w:tcPr>
          <w:p>
            <w:pPr>
              <w:spacing w:after="0" w:line="174" w:lineRule="exact"/>
              <w:rPr>
                <w:sz w:val="20"/>
                <w:szCs w:val="20"/>
                <w:color w:val="auto"/>
              </w:rPr>
            </w:pPr>
            <w:r>
              <w:rPr>
                <w:rFonts w:ascii="Times New Roman" w:cs="Times New Roman" w:eastAsia="Times New Roman" w:hAnsi="Times New Roman"/>
                <w:sz w:val="17"/>
                <w:szCs w:val="17"/>
                <w:color w:val="0000EE"/>
                <w:w w:val="89"/>
              </w:rPr>
              <w:t>EXPERTS</w:t>
            </w:r>
          </w:p>
        </w:tc>
        <w:tc>
          <w:tcPr>
            <w:tcW w:w="620" w:type="dxa"/>
            <w:vAlign w:val="bottom"/>
            <w:tcBorders>
              <w:top w:val="single" w:sz="8" w:color="0000EE"/>
            </w:tcBorders>
            <w:gridSpan w:val="3"/>
          </w:tcPr>
          <w:p>
            <w:pPr>
              <w:spacing w:after="0"/>
              <w:rPr>
                <w:sz w:val="15"/>
                <w:szCs w:val="15"/>
                <w:color w:val="auto"/>
              </w:rPr>
            </w:pPr>
          </w:p>
        </w:tc>
        <w:tc>
          <w:tcPr>
            <w:tcW w:w="5820" w:type="dxa"/>
            <w:vAlign w:val="bottom"/>
            <w:tcBorders>
              <w:top w:val="single" w:sz="8" w:color="CCEEFF"/>
            </w:tcBorders>
            <w:gridSpan w:val="14"/>
          </w:tcPr>
          <w:p>
            <w:pPr>
              <w:spacing w:after="0"/>
              <w:rPr>
                <w:sz w:val="15"/>
                <w:szCs w:val="15"/>
                <w:color w:val="auto"/>
              </w:rPr>
            </w:pPr>
          </w:p>
        </w:tc>
        <w:tc>
          <w:tcPr>
            <w:tcW w:w="420" w:type="dxa"/>
            <w:vAlign w:val="bottom"/>
            <w:tcBorders>
              <w:top w:val="single" w:sz="8" w:color="CCEEFF"/>
            </w:tcBorders>
            <w:gridSpan w:val="2"/>
          </w:tcPr>
          <w:p>
            <w:pPr>
              <w:spacing w:after="0"/>
              <w:rPr>
                <w:sz w:val="15"/>
                <w:szCs w:val="15"/>
                <w:color w:val="auto"/>
              </w:rPr>
            </w:pPr>
          </w:p>
        </w:tc>
        <w:tc>
          <w:tcPr>
            <w:tcW w:w="160" w:type="dxa"/>
            <w:vAlign w:val="bottom"/>
            <w:tcBorders>
              <w:top w:val="single" w:sz="8" w:color="0000EE"/>
              <w:bottom w:val="single" w:sz="8" w:color="0000EE"/>
            </w:tcBorders>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0000EE"/>
                <w:w w:val="82"/>
              </w:rPr>
              <w:t>34</w:t>
            </w: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107" w:lineRule="exact"/>
        <w:rPr>
          <w:sz w:val="20"/>
          <w:szCs w:val="20"/>
          <w:color w:val="auto"/>
        </w:rPr>
      </w:pPr>
    </w:p>
    <w:p>
      <w:pPr>
        <w:jc w:val="both"/>
        <w:ind w:left="640" w:right="639" w:firstLine="331"/>
        <w:spacing w:after="0" w:line="265" w:lineRule="auto"/>
        <w:rPr>
          <w:sz w:val="20"/>
          <w:szCs w:val="20"/>
          <w:color w:val="auto"/>
        </w:rPr>
      </w:pPr>
      <w:r>
        <w:rPr>
          <w:rFonts w:ascii="Times New Roman" w:cs="Times New Roman" w:eastAsia="Times New Roman" w:hAnsi="Times New Roman"/>
          <w:sz w:val="16"/>
          <w:szCs w:val="16"/>
          <w:color w:val="auto"/>
        </w:rPr>
        <w:t>This prospectus supplement is part of a registration statement that we have filed with the Securities and Exchange Commission, or SEC, which became automatically effective upon filing, utilizing a “shelf” registration process, and relates to the offering of our common shares. Before buying any of the common shares that the selling securityholders are offering, we urge you to carefully read this prospectus supplement, the accompanying prospectus and all of the information incorporated by reference herein and therein, as well as the additional information described under the heading “Where You Can Find More Information; Incorporation by Reference.” These documents contain important information that you should consider when making your investment decision.</w:t>
      </w:r>
    </w:p>
    <w:p>
      <w:pPr>
        <w:spacing w:after="0" w:line="68"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We and the selling securityholders provide information to you about this offering of our common shares in two separate documents that are bound together: (1) this prospectus supplement, which describes the specific details regarding this offering and also adds to and updates information contained in the documents incorporated by reference into this prospectus supplement;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88"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 this prospectus supplement, the accompanying prospectus and any free writing prospectus that we may authorize for use in connection with this offering. We have not, and the selling securityholders have not, authorized anyone to provide you with different information. If anyone provides you with different or inconsistent information, you should not rely on it. We are not, and the selling securityholders are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in their entirety before making an investment decision.</w:t>
      </w:r>
    </w:p>
    <w:p>
      <w:pPr>
        <w:spacing w:after="0" w:line="87" w:lineRule="exact"/>
        <w:rPr>
          <w:sz w:val="20"/>
          <w:szCs w:val="20"/>
          <w:color w:val="auto"/>
        </w:rPr>
      </w:pPr>
    </w:p>
    <w:p>
      <w:pPr>
        <w:jc w:val="both"/>
        <w:ind w:left="640" w:right="639" w:firstLine="331"/>
        <w:spacing w:after="0" w:line="265" w:lineRule="auto"/>
        <w:rPr>
          <w:sz w:val="20"/>
          <w:szCs w:val="20"/>
          <w:color w:val="auto"/>
        </w:rPr>
      </w:pPr>
      <w:r>
        <w:rPr>
          <w:rFonts w:ascii="Times New Roman" w:cs="Times New Roman" w:eastAsia="Times New Roman" w:hAnsi="Times New Roman"/>
          <w:sz w:val="16"/>
          <w:szCs w:val="16"/>
          <w:color w:val="auto"/>
        </w:rPr>
        <w:t>The distribution of this prospectus supplement and the accompanying prospectus and the offering of the common shares in certain jurisdictions may be restricted by law. Persons outside the United States who come into possession of this prospectus supplement and the accompanying prospectus must inform themselves about, and observe any restrictions relating to, the offering of the common shares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63"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or the selling securityholders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82"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When we refer to “AtaiBeckley,” “we,” “our,” “us,” the “Company” and “our company” in this prospectus supplement, we mean Atai Beckley N.V. and its consolidated subsidiaries, unless otherwise specified. When we refer to “you,” we mean the potential holders of the applicable series of securities.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 w:name="page4"/>
    <w:bookmarkEnd w:id="3"/>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107" w:lineRule="exact"/>
        <w:rPr>
          <w:sz w:val="20"/>
          <w:szCs w:val="20"/>
          <w:color w:val="auto"/>
        </w:rPr>
      </w:pPr>
    </w:p>
    <w:p>
      <w:pPr>
        <w:jc w:val="both"/>
        <w:ind w:left="640" w:right="639" w:firstLine="331"/>
        <w:spacing w:after="0" w:line="265" w:lineRule="auto"/>
        <w:rPr>
          <w:sz w:val="20"/>
          <w:szCs w:val="20"/>
          <w:color w:val="auto"/>
        </w:rPr>
      </w:pPr>
      <w:r>
        <w:rPr>
          <w:rFonts w:ascii="Times New Roman" w:cs="Times New Roman" w:eastAsia="Times New Roman" w:hAnsi="Times New Roman"/>
          <w:sz w:val="16"/>
          <w:szCs w:val="16"/>
          <w:color w:val="auto"/>
        </w:rPr>
        <w:t>We have proprietary rights to trademarks used in this prospectus supplement that are important to our business, many of which are registered under applicable intellectual property laws. Solely for convenience, trademarks and trade names referred to in this prospectus supplement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supplement is the property of its respective holder.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 INCORPORATION BY REFERENCE</w:t>
      </w: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07"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https://www.sec.gov.</w:t>
      </w:r>
    </w:p>
    <w:p>
      <w:pPr>
        <w:spacing w:after="0" w:line="70"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Our website address is https://www.ataibeckley.com. The information contained on, or accessible through, our website does not constitute part of this prospectus supplement. We have included our website address in this prospectus supplement solely as an inactive textual reference.</w:t>
      </w:r>
    </w:p>
    <w:p>
      <w:pPr>
        <w:spacing w:after="0" w:line="70"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This prospectus supplement is part of a registration statement that we filed with the SEC and does not contain all of the information in the registration statement. The full registration statement may be obtained from the SEC or us, as provided below. Documents establishing the terms of the offered securities are or may be filed as exhibits to the registration statement or documents incorporated by reference in the registration statement. Statements in this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10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79" w:lineRule="exact"/>
        <w:rPr>
          <w:sz w:val="20"/>
          <w:szCs w:val="20"/>
          <w:color w:val="auto"/>
        </w:rPr>
      </w:pPr>
    </w:p>
    <w:p>
      <w:pPr>
        <w:jc w:val="both"/>
        <w:ind w:left="640" w:right="659" w:firstLine="331"/>
        <w:spacing w:after="0" w:line="268" w:lineRule="auto"/>
        <w:rPr>
          <w:sz w:val="20"/>
          <w:szCs w:val="20"/>
          <w:color w:val="auto"/>
        </w:rPr>
      </w:pPr>
      <w:r>
        <w:rPr>
          <w:rFonts w:ascii="Times New Roman" w:cs="Times New Roman" w:eastAsia="Times New Roman" w:hAnsi="Times New Roman"/>
          <w:sz w:val="17"/>
          <w:szCs w:val="17"/>
          <w:color w:val="auto"/>
        </w:rPr>
        <w:t>This prospectus supplement incorporates by reference the documents set forth below that have previously been filed with the SEC, but excluding any information furnished to, rather than filed with, the SEC:</w:t>
      </w:r>
    </w:p>
    <w:p>
      <w:pPr>
        <w:spacing w:after="0" w:line="60" w:lineRule="exact"/>
        <w:rPr>
          <w:sz w:val="20"/>
          <w:szCs w:val="20"/>
          <w:color w:val="auto"/>
        </w:rPr>
      </w:pPr>
    </w:p>
    <w:p>
      <w:pPr>
        <w:ind w:left="1280" w:right="639" w:hanging="319"/>
        <w:spacing w:after="0" w:line="268" w:lineRule="auto"/>
        <w:tabs>
          <w:tab w:leader="none" w:pos="1280" w:val="left"/>
        </w:tabs>
        <w:numPr>
          <w:ilvl w:val="0"/>
          <w:numId w:val="1"/>
        </w:numPr>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auto"/>
          </w:rPr>
          <w:t xml:space="preserve">Our Annual Report on Form 10-K for the year ended December 31, 2024, filed with the SEC on </w:t>
        </w:r>
        <w:r>
          <w:rPr>
            <w:rFonts w:ascii="Times New Roman" w:cs="Times New Roman" w:eastAsia="Times New Roman" w:hAnsi="Times New Roman"/>
            <w:sz w:val="17"/>
            <w:szCs w:val="17"/>
            <w:u w:val="single" w:color="auto"/>
            <w:color w:val="0000EE"/>
          </w:rPr>
          <w:t>March 17,</w:t>
        </w:r>
      </w:hyperlink>
      <w:r>
        <w:rPr>
          <w:rFonts w:ascii="Times New Roman" w:cs="Times New Roman" w:eastAsia="Times New Roman" w:hAnsi="Times New Roman"/>
          <w:sz w:val="17"/>
          <w:szCs w:val="17"/>
          <w:color w:val="auto"/>
        </w:rPr>
        <w:t xml:space="preserve"> </w:t>
      </w:r>
      <w:hyperlink r:id="rId13">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60" w:lineRule="exact"/>
        <w:rPr>
          <w:rFonts w:ascii="Times New Roman" w:cs="Times New Roman" w:eastAsia="Times New Roman" w:hAnsi="Times New Roman"/>
          <w:sz w:val="17"/>
          <w:szCs w:val="17"/>
          <w:color w:val="0000EE"/>
        </w:rPr>
      </w:pPr>
    </w:p>
    <w:p>
      <w:pPr>
        <w:ind w:left="1280" w:right="659" w:hanging="319"/>
        <w:spacing w:after="0" w:line="268" w:lineRule="auto"/>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Form 10-K from our Definitive Proxy Statement on Schedule 14A, filed with the SEC on </w:t>
      </w:r>
      <w:hyperlink r:id="rId14">
        <w:r>
          <w:rPr>
            <w:rFonts w:ascii="Times New Roman" w:cs="Times New Roman" w:eastAsia="Times New Roman" w:hAnsi="Times New Roman"/>
            <w:sz w:val="17"/>
            <w:szCs w:val="17"/>
            <w:u w:val="single" w:color="auto"/>
            <w:color w:val="0000EE"/>
          </w:rPr>
          <w:t>April 21, 2025</w:t>
        </w:r>
      </w:hyperlink>
      <w:r>
        <w:rPr>
          <w:rFonts w:ascii="Times New Roman" w:cs="Times New Roman" w:eastAsia="Times New Roman" w:hAnsi="Times New Roman"/>
          <w:sz w:val="17"/>
          <w:szCs w:val="17"/>
          <w:color w:val="auto"/>
        </w:rPr>
        <w:t>.</w:t>
      </w:r>
    </w:p>
    <w:p>
      <w:pPr>
        <w:spacing w:after="0" w:line="60" w:lineRule="exact"/>
        <w:rPr>
          <w:rFonts w:ascii="Times New Roman" w:cs="Times New Roman" w:eastAsia="Times New Roman" w:hAnsi="Times New Roman"/>
          <w:sz w:val="17"/>
          <w:szCs w:val="17"/>
          <w:color w:val="auto"/>
        </w:rPr>
      </w:pPr>
    </w:p>
    <w:p>
      <w:pPr>
        <w:jc w:val="both"/>
        <w:ind w:left="1280" w:right="659" w:hanging="319"/>
        <w:spacing w:after="0" w:line="256" w:lineRule="auto"/>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in the sections entitled “The Redomiciliation,” “Description of ATAI Delaware Common Stock” and “Comparison of Shareholders Rights Between Netherlands Law and Delaware Law” in our Definitive Proxy Statement on Schedule 14A, filed with the SEC on </w:t>
      </w:r>
      <w:hyperlink r:id="rId15">
        <w:r>
          <w:rPr>
            <w:rFonts w:ascii="Times New Roman" w:cs="Times New Roman" w:eastAsia="Times New Roman" w:hAnsi="Times New Roman"/>
            <w:sz w:val="17"/>
            <w:szCs w:val="17"/>
            <w:u w:val="single" w:color="auto"/>
            <w:color w:val="0000EE"/>
          </w:rPr>
          <w:t>September 24, 2025</w:t>
        </w:r>
      </w:hyperlink>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7"/>
          <w:szCs w:val="17"/>
          <w:color w:val="auto"/>
        </w:rPr>
      </w:pPr>
    </w:p>
    <w:p>
      <w:pPr>
        <w:jc w:val="both"/>
        <w:ind w:left="1280" w:right="659" w:hanging="319"/>
        <w:spacing w:after="0" w:line="256" w:lineRule="auto"/>
        <w:tabs>
          <w:tab w:leader="none" w:pos="1280" w:val="left"/>
        </w:tabs>
        <w:numPr>
          <w:ilvl w:val="0"/>
          <w:numId w:val="1"/>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Quarterly Reports on Form 10-Q for the quarters ended </w:t>
      </w:r>
      <w:hyperlink r:id="rId16">
        <w:r>
          <w:rPr>
            <w:rFonts w:ascii="Times New Roman" w:cs="Times New Roman" w:eastAsia="Times New Roman" w:hAnsi="Times New Roman"/>
            <w:sz w:val="17"/>
            <w:szCs w:val="17"/>
            <w:u w:val="single" w:color="auto"/>
            <w:color w:val="0000EE"/>
          </w:rPr>
          <w:t>March 31, 2025</w:t>
        </w:r>
      </w:hyperlink>
      <w:r>
        <w:rPr>
          <w:rFonts w:ascii="Times New Roman" w:cs="Times New Roman" w:eastAsia="Times New Roman" w:hAnsi="Times New Roman"/>
          <w:sz w:val="17"/>
          <w:szCs w:val="17"/>
          <w:color w:val="auto"/>
        </w:rPr>
        <w:t xml:space="preserve">, </w:t>
      </w:r>
      <w:hyperlink r:id="rId17">
        <w:r>
          <w:rPr>
            <w:rFonts w:ascii="Times New Roman" w:cs="Times New Roman" w:eastAsia="Times New Roman" w:hAnsi="Times New Roman"/>
            <w:sz w:val="17"/>
            <w:szCs w:val="17"/>
            <w:u w:val="single" w:color="auto"/>
            <w:color w:val="0000EE"/>
          </w:rPr>
          <w:t>June 30,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18">
        <w:r>
          <w:rPr>
            <w:rFonts w:ascii="Times New Roman" w:cs="Times New Roman" w:eastAsia="Times New Roman" w:hAnsi="Times New Roman"/>
            <w:sz w:val="17"/>
            <w:szCs w:val="17"/>
            <w:u w:val="single" w:color="auto"/>
            <w:color w:val="0000EE"/>
          </w:rPr>
          <w:t>September 30,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filed with the SEC on May 14, 2025, August 14, 2025 and November 12, 2025,</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respectively.</w:t>
      </w:r>
    </w:p>
    <w:p>
      <w:pPr>
        <w:spacing w:after="0" w:line="69" w:lineRule="exact"/>
        <w:rPr>
          <w:rFonts w:ascii="Times New Roman" w:cs="Times New Roman" w:eastAsia="Times New Roman" w:hAnsi="Times New Roman"/>
          <w:sz w:val="17"/>
          <w:szCs w:val="17"/>
          <w:color w:val="0000EE"/>
        </w:rPr>
      </w:pPr>
    </w:p>
    <w:p>
      <w:pPr>
        <w:jc w:val="both"/>
        <w:ind w:left="1280" w:right="639" w:hanging="319"/>
        <w:spacing w:after="0" w:line="252" w:lineRule="auto"/>
        <w:tabs>
          <w:tab w:leader="none" w:pos="1280" w:val="left"/>
        </w:tabs>
        <w:numPr>
          <w:ilvl w:val="0"/>
          <w:numId w:val="1"/>
        </w:numPr>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color w:val="auto"/>
          </w:rPr>
          <w:t xml:space="preserve">Our Current Reports on Form 8-K filed with the SEC on </w:t>
        </w:r>
        <w:r>
          <w:rPr>
            <w:rFonts w:ascii="Times New Roman" w:cs="Times New Roman" w:eastAsia="Times New Roman" w:hAnsi="Times New Roman"/>
            <w:sz w:val="17"/>
            <w:szCs w:val="17"/>
            <w:u w:val="single" w:color="auto"/>
            <w:color w:val="0000EE"/>
          </w:rPr>
          <w:t>January 10,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January 24,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13,</w:t>
        </w:r>
      </w:hyperlink>
      <w:r>
        <w:rPr>
          <w:rFonts w:ascii="Times New Roman" w:cs="Times New Roman" w:eastAsia="Times New Roman" w:hAnsi="Times New Roman"/>
          <w:sz w:val="17"/>
          <w:szCs w:val="17"/>
          <w:color w:val="auto"/>
        </w:rPr>
        <w:t xml:space="preserve"> </w:t>
      </w:r>
      <w:hyperlink r:id="rId19">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0">
        <w:r>
          <w:rPr>
            <w:rFonts w:ascii="Times New Roman" w:cs="Times New Roman" w:eastAsia="Times New Roman" w:hAnsi="Times New Roman"/>
            <w:sz w:val="17"/>
            <w:szCs w:val="17"/>
            <w:u w:val="single" w:color="auto"/>
            <w:color w:val="0000EE"/>
          </w:rPr>
          <w:t>April 30,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1">
        <w:r>
          <w:rPr>
            <w:rFonts w:ascii="Times New Roman" w:cs="Times New Roman" w:eastAsia="Times New Roman" w:hAnsi="Times New Roman"/>
            <w:sz w:val="17"/>
            <w:szCs w:val="17"/>
            <w:u w:val="single" w:color="auto"/>
            <w:color w:val="0000EE"/>
          </w:rPr>
          <w:t>May 8,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2">
        <w:r>
          <w:rPr>
            <w:rFonts w:ascii="Times New Roman" w:cs="Times New Roman" w:eastAsia="Times New Roman" w:hAnsi="Times New Roman"/>
            <w:sz w:val="17"/>
            <w:szCs w:val="17"/>
            <w:u w:val="single" w:color="auto"/>
            <w:color w:val="0000EE"/>
          </w:rPr>
          <w:t>May 21,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3">
        <w:r>
          <w:rPr>
            <w:rFonts w:ascii="Times New Roman" w:cs="Times New Roman" w:eastAsia="Times New Roman" w:hAnsi="Times New Roman"/>
            <w:sz w:val="17"/>
            <w:szCs w:val="17"/>
            <w:u w:val="single" w:color="auto"/>
            <w:color w:val="0000EE"/>
          </w:rPr>
          <w:t>June 2,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4">
        <w:r>
          <w:rPr>
            <w:rFonts w:ascii="Times New Roman" w:cs="Times New Roman" w:eastAsia="Times New Roman" w:hAnsi="Times New Roman"/>
            <w:sz w:val="17"/>
            <w:szCs w:val="17"/>
            <w:u w:val="single" w:color="auto"/>
            <w:color w:val="0000EE"/>
          </w:rPr>
          <w:t>July 1,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5">
        <w:r>
          <w:rPr>
            <w:rFonts w:ascii="Times New Roman" w:cs="Times New Roman" w:eastAsia="Times New Roman" w:hAnsi="Times New Roman"/>
            <w:sz w:val="17"/>
            <w:szCs w:val="17"/>
            <w:u w:val="single" w:color="auto"/>
            <w:color w:val="0000EE"/>
          </w:rPr>
          <w:t>September 23, 2025</w:t>
        </w:r>
      </w:hyperlink>
      <w:hyperlink r:id="rId19">
        <w:r>
          <w:rPr>
            <w:rFonts w:ascii="Times New Roman" w:cs="Times New Roman" w:eastAsia="Times New Roman" w:hAnsi="Times New Roman"/>
            <w:sz w:val="17"/>
            <w:szCs w:val="17"/>
            <w:color w:val="000000"/>
          </w:rPr>
          <w:t>,</w:t>
        </w:r>
      </w:hyperlink>
      <w:r>
        <w:rPr>
          <w:rFonts w:ascii="Times New Roman" w:cs="Times New Roman" w:eastAsia="Times New Roman" w:hAnsi="Times New Roman"/>
          <w:sz w:val="17"/>
          <w:szCs w:val="17"/>
          <w:color w:val="0000EE"/>
        </w:rPr>
        <w:t xml:space="preserve"> </w:t>
      </w:r>
      <w:hyperlink r:id="rId26">
        <w:r>
          <w:rPr>
            <w:rFonts w:ascii="Times New Roman" w:cs="Times New Roman" w:eastAsia="Times New Roman" w:hAnsi="Times New Roman"/>
            <w:sz w:val="17"/>
            <w:szCs w:val="17"/>
            <w:u w:val="single" w:color="auto"/>
            <w:color w:val="0000EE"/>
          </w:rPr>
          <w:t>September 29,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27">
        <w:r>
          <w:rPr>
            <w:rFonts w:ascii="Times New Roman" w:cs="Times New Roman" w:eastAsia="Times New Roman" w:hAnsi="Times New Roman"/>
            <w:sz w:val="17"/>
            <w:szCs w:val="17"/>
            <w:u w:val="single" w:color="auto"/>
            <w:color w:val="0000EE"/>
          </w:rPr>
          <w:t>October 10,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28">
        <w:r>
          <w:rPr>
            <w:rFonts w:ascii="Times New Roman" w:cs="Times New Roman" w:eastAsia="Times New Roman" w:hAnsi="Times New Roman"/>
            <w:sz w:val="17"/>
            <w:szCs w:val="17"/>
            <w:u w:val="single" w:color="auto"/>
            <w:color w:val="0000EE"/>
          </w:rPr>
          <w:t>October 16,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29">
        <w:r>
          <w:rPr>
            <w:rFonts w:ascii="Times New Roman" w:cs="Times New Roman" w:eastAsia="Times New Roman" w:hAnsi="Times New Roman"/>
            <w:sz w:val="17"/>
            <w:szCs w:val="17"/>
            <w:u w:val="single" w:color="auto"/>
            <w:color w:val="0000EE"/>
          </w:rPr>
          <w:t>October 20,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0">
        <w:r>
          <w:rPr>
            <w:rFonts w:ascii="Times New Roman" w:cs="Times New Roman" w:eastAsia="Times New Roman" w:hAnsi="Times New Roman"/>
            <w:sz w:val="17"/>
            <w:szCs w:val="17"/>
            <w:u w:val="single" w:color="auto"/>
            <w:color w:val="0000EE"/>
          </w:rPr>
          <w:t>October 21,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1">
        <w:r>
          <w:rPr>
            <w:rFonts w:ascii="Times New Roman" w:cs="Times New Roman" w:eastAsia="Times New Roman" w:hAnsi="Times New Roman"/>
            <w:sz w:val="17"/>
            <w:szCs w:val="17"/>
            <w:u w:val="single" w:color="auto"/>
            <w:color w:val="0000EE"/>
          </w:rPr>
          <w:t>October 27,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2">
        <w:r>
          <w:rPr>
            <w:rFonts w:ascii="Times New Roman" w:cs="Times New Roman" w:eastAsia="Times New Roman" w:hAnsi="Times New Roman"/>
            <w:sz w:val="17"/>
            <w:szCs w:val="17"/>
            <w:u w:val="single" w:color="auto"/>
            <w:color w:val="0000EE"/>
          </w:rPr>
          <w:t xml:space="preserve">November 4, 2025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33">
        <w:r>
          <w:rPr>
            <w:rFonts w:ascii="Times New Roman" w:cs="Times New Roman" w:eastAsia="Times New Roman" w:hAnsi="Times New Roman"/>
            <w:sz w:val="17"/>
            <w:szCs w:val="17"/>
            <w:u w:val="single" w:color="auto"/>
            <w:color w:val="0000EE"/>
          </w:rPr>
          <w:t>November 5, 2025</w:t>
        </w:r>
      </w:hyperlink>
      <w:r>
        <w:rPr>
          <w:rFonts w:ascii="Times New Roman" w:cs="Times New Roman" w:eastAsia="Times New Roman" w:hAnsi="Times New Roman"/>
          <w:sz w:val="17"/>
          <w:szCs w:val="17"/>
          <w:color w:val="000000"/>
        </w:rPr>
        <w:t>.</w:t>
      </w:r>
    </w:p>
    <w:p>
      <w:pPr>
        <w:spacing w:after="0" w:line="72" w:lineRule="exact"/>
        <w:rPr>
          <w:rFonts w:ascii="Times New Roman" w:cs="Times New Roman" w:eastAsia="Times New Roman" w:hAnsi="Times New Roman"/>
          <w:sz w:val="17"/>
          <w:szCs w:val="17"/>
          <w:color w:val="0000EE"/>
        </w:rPr>
      </w:pPr>
    </w:p>
    <w:p>
      <w:pPr>
        <w:jc w:val="both"/>
        <w:ind w:left="1280" w:right="659" w:hanging="319"/>
        <w:spacing w:after="0" w:line="256" w:lineRule="auto"/>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Share Capital contained in our Registration Statement on Form 8-A, filed with the SEC on </w:t>
      </w:r>
      <w:hyperlink r:id="rId34">
        <w:r>
          <w:rPr>
            <w:rFonts w:ascii="Times New Roman" w:cs="Times New Roman" w:eastAsia="Times New Roman" w:hAnsi="Times New Roman"/>
            <w:sz w:val="17"/>
            <w:szCs w:val="17"/>
            <w:u w:val="single" w:color="auto"/>
            <w:color w:val="0000EE"/>
          </w:rPr>
          <w:t>June 14,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and any amendment or report filed with the SEC for the purpose of updating the description.</w:t>
      </w:r>
    </w:p>
    <w:p>
      <w:pPr>
        <w:spacing w:after="0" w:line="70" w:lineRule="exact"/>
        <w:rPr>
          <w:rFonts w:ascii="Times New Roman" w:cs="Times New Roman" w:eastAsia="Times New Roman" w:hAnsi="Times New Roman"/>
          <w:sz w:val="17"/>
          <w:szCs w:val="17"/>
          <w:color w:val="0000EE"/>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documents.</w:t>
      </w:r>
    </w:p>
    <w:p>
      <w:pPr>
        <w:spacing w:after="0" w:line="172" w:lineRule="exact"/>
        <w:rPr>
          <w:rFonts w:ascii="Times New Roman" w:cs="Times New Roman" w:eastAsia="Times New Roman" w:hAnsi="Times New Roman"/>
          <w:sz w:val="17"/>
          <w:szCs w:val="17"/>
          <w:color w:val="0000EE"/>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supplement by writing or telephoning us at the following address:</w:t>
      </w:r>
    </w:p>
    <w:p>
      <w:pPr>
        <w:spacing w:after="0" w:line="11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Attention: Secretary</w:t>
      </w:r>
    </w:p>
    <w:p>
      <w:pPr>
        <w:spacing w:after="0" w:line="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Atai Beckley N.V.</w:t>
      </w:r>
    </w:p>
    <w:p>
      <w:pPr>
        <w:spacing w:after="0" w:line="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Prof. J.H. Bavincklaan 7</w:t>
      </w:r>
    </w:p>
    <w:p>
      <w:pPr>
        <w:spacing w:after="0" w:line="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1183 AT Amstelveen</w:t>
      </w:r>
    </w:p>
    <w:p>
      <w:pPr>
        <w:spacing w:after="0" w:line="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color w:val="auto"/>
        </w:rPr>
        <w:t>The Netherlands</w:t>
      </w:r>
    </w:p>
    <w:p>
      <w:pPr>
        <w:spacing w:after="0" w:line="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color w:val="auto"/>
        </w:rPr>
        <w:t>+31 20 793 2536</w:t>
      </w:r>
    </w:p>
    <w:p>
      <w:pPr>
        <w:spacing w:after="0" w:line="86" w:lineRule="exact"/>
        <w:rPr>
          <w:sz w:val="20"/>
          <w:szCs w:val="20"/>
          <w:color w:val="auto"/>
        </w:rPr>
      </w:pPr>
    </w:p>
    <w:p>
      <w:pPr>
        <w:ind w:left="640" w:right="659" w:firstLine="331"/>
        <w:spacing w:after="0" w:line="268" w:lineRule="auto"/>
        <w:rPr>
          <w:sz w:val="20"/>
          <w:szCs w:val="20"/>
          <w:color w:val="auto"/>
        </w:rPr>
      </w:pPr>
      <w:r>
        <w:rPr>
          <w:rFonts w:ascii="Times New Roman" w:cs="Times New Roman" w:eastAsia="Times New Roman" w:hAnsi="Times New Roman"/>
          <w:sz w:val="17"/>
          <w:szCs w:val="17"/>
          <w:color w:val="auto"/>
        </w:rPr>
        <w:t>Exhibits to the filings will not be sent, however, unless those exhibits have specifically been incorporated by reference in this prospectus supplement.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7"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Founded in 2025 through the strategic combination of ATAI Life Sciences N.V. and Beckley Psytech Limited, AtaiBeckley is a clinical-stage biopharmaceutical company on a mission to create breakthroughs for people with difficult-to-treat mental health conditions. Our work is grounded in rigorous science to deliver meaningful outcomes for the patients we serve.</w:t>
      </w:r>
    </w:p>
    <w:p>
      <w:pPr>
        <w:spacing w:after="0" w:line="73"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Mental health disorders are highly prevalent and estimated to affect more than one billion people globally. The economic burden of these disorders is substantial and is growing rapidly. Between 2009 and 2019, spending on mental health care in the United States increased by more than 50%, reaching $225 billion, and a Lancet Commission report estimates that the global economic cost will reach $16 trillion by 2030. While current treatments, such as selective serotonin reuptake inhibitors and serotonin-norepinephrine reuptake inhibitors are well established and effective for certain patients, approximately 65% of patients do not achieve remission of their symptoms after up to four antidepressant treatment trials, translating to a significant unmet medical need.</w:t>
      </w: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0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The statutory seat of Atai Beckley N.V. is in Amsterdam, the Netherlands. Our office address and our principal executive office is located at Prof. J.H. Bavincklaan 7, 1183 AT Amstelveen, the Netherlands, and our telephone number is +31 20 793 2536. Our website address is https://www.ataibeckley.com. The information contained on, or that can be accessed from, our website does not form part of this prospectus supplement. References to our website address do not constitute incorporation by reference of the information contained on the website, and the information contained on the website is not part of this prospectus supplement or any other document that we file with or furnish to the SEC.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7"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supplement and the accompanying prospectus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supplement, as updated by our subsequent filings under the Exchange Act, and the risk factors and other information contained in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Note Regarding Forward-Looking Statements” included in our most recent Annual Report on Form 10-K and any subsequent Quarterly Reports on Form 10-Q or Current Reports on Form 8-K. For more information about our SEC filings, please see “Where You Can Find More Information; Incorporation by Reference.”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07" w:lineRule="exact"/>
        <w:rPr>
          <w:sz w:val="20"/>
          <w:szCs w:val="20"/>
          <w:color w:val="auto"/>
        </w:rPr>
      </w:pPr>
    </w:p>
    <w:p>
      <w:pPr>
        <w:jc w:val="both"/>
        <w:ind w:left="640" w:right="639" w:firstLine="331"/>
        <w:spacing w:after="0" w:line="261" w:lineRule="auto"/>
        <w:rPr>
          <w:sz w:val="20"/>
          <w:szCs w:val="20"/>
          <w:color w:val="auto"/>
        </w:rPr>
      </w:pPr>
      <w:r>
        <w:rPr>
          <w:rFonts w:ascii="Times New Roman" w:cs="Times New Roman" w:eastAsia="Times New Roman" w:hAnsi="Times New Roman"/>
          <w:sz w:val="16"/>
          <w:szCs w:val="16"/>
          <w:color w:val="auto"/>
        </w:rPr>
        <w:t>This prospectus supplement, the accompanying prospectus and the documents incorporated by reference herein and therein and any free writing prospectus that we have authorized for use in connection with this offering contain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supplement, the accompanying prospectus and the documents incorporated by reference herein and therein and any free writing prospectus are forward-looking statements, including without limitation statements regarding our future operating results and financial position; the success, cost, and timing of development of our product candidates, including the progress of preclinical studies and clinical trials and related milestones; the commercialization of our current product candidates and any other product candidates we may identify and pursue, if approved, including our ability to successfully build a specialty sales force and commercial infrastructure to market our current product candidates and any other product candidates we may identify and pursue; the timing of and our ability to obtain and maintain regulatory approvals; our business strategy and plans, including the benefits of our corporate restructuring and our pending corporate redomiciliation to the U.S.; the Acquisition and potential acquisitions, partnerships and other strategic arrangements; the ability to generate revenue from any current or future licensing agreements and other strategic arrangements, the sufficiency of our cash and cash equivalents and short-term securities to fund our operations; and the plans and objectives of management for future operations and capital expenditures. The words “believe,” “may,” “will,” “estimate,” “continue,” “anticipate,” “intend,” “expect,” “could,” “would,” “project,” “plan,” “potentially,” “preliminary,” “likely,” and similar expressions are intended to identify forward-looking statements.</w:t>
      </w:r>
    </w:p>
    <w:p>
      <w:pPr>
        <w:spacing w:after="0" w:line="270" w:lineRule="exact"/>
        <w:rPr>
          <w:sz w:val="20"/>
          <w:szCs w:val="20"/>
          <w:color w:val="auto"/>
        </w:rPr>
      </w:pPr>
    </w:p>
    <w:p>
      <w:pPr>
        <w:jc w:val="both"/>
        <w:ind w:left="640" w:right="639" w:firstLine="331"/>
        <w:spacing w:after="0" w:line="260" w:lineRule="auto"/>
        <w:rPr>
          <w:sz w:val="20"/>
          <w:szCs w:val="20"/>
          <w:color w:val="auto"/>
        </w:rPr>
      </w:pPr>
      <w:r>
        <w:rPr>
          <w:rFonts w:ascii="Times New Roman" w:cs="Times New Roman" w:eastAsia="Times New Roman" w:hAnsi="Times New Roman"/>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we are a clinical-stage biopharmaceutical company and have incurred significant losses since our inception, and we expect to incur losses for the foreseeable future and may never be profitable; if we are unable to obtain funding when needed and on acceptable terms, we could be forced to delay, limit or discontinue our product candidate development efforts; our limited operating history may make it difficult for you to evaluate the success of our business and to assess our future viability; risks related to the Acquisition, including any challenges with integration and expectations regarding the anticipated benefits of the transaction; we rely on third parties to assist in conducting our clinical trials and some aspects of our research and preclinical testing; we currently rely on qualified therapists working at third-party clinical trial sites to administer certain of our product candidates in our clinical trials and we expect this to continue upon approval, if any, of our current or future product candidates, and if third-party sites fail to recruit and retain a sufficient number of therapists or effectively manage their therapists, our business, financial condition and results of operations would be materially harmed; our product candidates are in preclinical or clinical development, which is a lengthy and expensive process with uncertain outcomes, and we cannot give any assurance that any of our product candidates will be successfully developed and/or receive regulatory approval, which is necessary before they can be commercialized; research and development of drugs targeting the central nervous system, or CNS, is particularly difficult, and it can be difficult to predict and understand why a drug has a positive effect on some patients but not others, which may reduce the likelihood our product candidates are ultimately approved and therefore may have a material adverse effect on our business and operating results; the production and sale of our product candidates may be considered illegal or may otherwise be restricted due to the use of controlled substances, which may also have consequences for the legality of investments from foreign jurisdictions and therefore we may not be successful in commercializing our product candidates in such jurisdictions, which will adversely affect our business, financial condition and results of operations; we face significant competition in an environment of rapid technological and scientific change, and there is a possibility that our competitors may achieve regulatory approval before we do or develop therapies that are safer, more advanced or more effective than ours, which may negatively impact our ability to successfully market or commercialize any product candidates we may develop and ultimately harm our financial condition; if we are unable to obtain and maintain sufficient intellectual property protection for our existing product candidates or any other product candidates that we may identify, or if the scope of the intellectual property protection we currently have or obtain in the future is not sufficiently broad, our competitors could develop and commercialize product candidates similar or identical to ours, and our ability to successfully commercialize our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spacing w:after="0" w:line="245" w:lineRule="auto"/>
        <w:rPr>
          <w:sz w:val="20"/>
          <w:szCs w:val="20"/>
          <w:color w:val="auto"/>
        </w:rPr>
      </w:pPr>
      <w:r>
        <w:rPr>
          <w:rFonts w:ascii="Times New Roman" w:cs="Times New Roman" w:eastAsia="Times New Roman" w:hAnsi="Times New Roman"/>
          <w:sz w:val="17"/>
          <w:szCs w:val="17"/>
          <w:color w:val="auto"/>
        </w:rPr>
        <w:t>existing product candidates and any other product candidates that we may pursue may be impaired; third parties may claim that we are infringing, misappropriating or otherwise violating their intellectual property rights, the outcome of which would be uncertain and may prevent or delay our development and commercialization efforts; our future success depends on our ability to retain key employees, directors, consultants and advisors and to attract, retain and motivate qualified personnel; if we fail to maintain an effective system of disclosure controls and internal control over financial reporting our ability to produce timely and accurate financial statements or comply with applicable regulations could be impaired; our business is subject to economic, political, regulatory and other risks associated with international operations; a pandemic, epidemic, or outbreak of an infectious disease, such as the COVID-19 pandemic, may materially and adversely affect our business, including our preclinical studies, clinical trials, trial sites, third parties on whom we rely, our supply chain, our ability to raise capital, our ability to conduct regular business and our financial results, and other risks, uncertainties, and assumptions described under “Risk Factors” in Item 1A of Part I, “Management’s Discussion and Analysis of Financial Condition and Results of Operations” in Item 7 of Part II and elsewhere in our Form 10-K for the year ended December 31, 2024, as further updated in “Management’s Discussion and Analysis of Financial Condition and Results of Operations” in Item 2 of our quarterly reports on Form 10-Q for the quarterly periods ended June 30, 2025 and September 30, 2025, in our subsequent filings with the SEC and in this prospectus supplement.</w:t>
      </w:r>
    </w:p>
    <w:p>
      <w:pPr>
        <w:spacing w:after="0" w:line="85"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Any forward-looking statements made herein speak only as of the date of this prospectus supplement,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prospectus supplement or to conform these statements to actual results or revised expectations.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7"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We will not receive any of the proceeds from the sale of common shares being offered by the selling securityholders, but we have agreed to pay certain registration expenses. To the extent applicable, the selling securityholders will pay any underwriting discounts, selling commissions or transfer taxes incurred by the selling securityholders in connection with the sale of the common shares offered hereby.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07"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The selling securityholders identified in the table below may, from time to time, offer and sell up to 123,134,069 common shares offered by this prospectus supplement and the accompanying prospectus. When we refer to the selling securityholders identified in the table below, we mean the entities identified in the table, and the donees, pledgees, transferees, assignees, designees, distributees or other successors-in-interest who after the date of this prospectus supplement come to hold any of such selling securityholders’ respective interests in our common shares other than through a public sale.</w:t>
      </w:r>
    </w:p>
    <w:p>
      <w:pPr>
        <w:spacing w:after="0" w:line="79"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The possible resale from time to time of our common shares by the selling securityholders identified in the table below relates to (i) 81,266,384 common shares received by certain of the selling securityholders in connection with the SPA, relating to the Acquisition and (ii) 41,867,685 common shares held by Apeiron Holders. These common shares are being registered pursuant to the registration rights we respectively granted to such selling securityholders in the Registration Rights Agreement.</w:t>
      </w:r>
    </w:p>
    <w:p>
      <w:pPr>
        <w:spacing w:after="0" w:line="75"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The following table sets forth information as of December 1, 2025, regarding the beneficial ownership of our common shares held by the selling security holders identified below, and the number of our common shares that may from time to time be offered or sold by the selling securityholders pursuant to this prospectus supplement. We have prepared the following table based on information given to us by, or on behalf of, the selling securityholders identified below on or before the date hereof with respect to the beneficial ownership of our common shares held by such selling securityholders.</w:t>
      </w:r>
    </w:p>
    <w:p>
      <w:pPr>
        <w:spacing w:after="0" w:line="79"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We have not independently verified this information, and this information may change from time to time and any changed information will be set forth in amendments or supplements to this prospectus supplement, if and when necessary. The selling securityholders identified below may offer all, some or none of their common shares, and we cannot advise you as to whether they will in fact sell any or all of such common shares. In addition, the selling securityholders identified below may have sold, transferred or otherwise disposed of, or may sell, transfer or otherwise dispose of, at any time and from time to time, our common shares in transactions exempt from the registration requirements of the Securities Act after the date on which they provided the information set forth in the table below.</w:t>
      </w:r>
    </w:p>
    <w:p>
      <w:pPr>
        <w:spacing w:after="0" w:line="79" w:lineRule="exact"/>
        <w:rPr>
          <w:sz w:val="20"/>
          <w:szCs w:val="20"/>
          <w:color w:val="auto"/>
        </w:rPr>
      </w:pPr>
    </w:p>
    <w:p>
      <w:pPr>
        <w:jc w:val="both"/>
        <w:ind w:left="640" w:right="639" w:firstLine="331"/>
        <w:spacing w:after="0" w:line="262" w:lineRule="auto"/>
        <w:rPr>
          <w:sz w:val="20"/>
          <w:szCs w:val="20"/>
          <w:color w:val="auto"/>
        </w:rPr>
      </w:pPr>
      <w:r>
        <w:rPr>
          <w:rFonts w:ascii="Times New Roman" w:cs="Times New Roman" w:eastAsia="Times New Roman" w:hAnsi="Times New Roman"/>
          <w:sz w:val="16"/>
          <w:szCs w:val="16"/>
          <w:color w:val="auto"/>
        </w:rPr>
        <w:t>The number of common shares beneficially owned by each selling securityholder is determined in accordance with the rules of the SEC, and the information is not necessarily indicative of beneficial ownership for any other purpose. Under such rules, beneficial ownership includes any common shares over which the individual or entity has sole or shared voting power or investment power. Applicable percentage ownership is based on 363,214,602 common shares outstanding as of December 1, 2025. In computing the number of common shares beneficially owned by an individual or entity and the percentage ownership of that person, common shares subject to options, restricted share units or other rights held by such person that are currently exercisable or will become exercisable or will vest within 60 days of December 1, 2025 are considered outstanding, although these common shares are not considered outstanding for purposes of computing the percentage ownership of any other person. Except as otherwise indicated, and subject to applicable community property laws, the persons identified in the table have sole voting and investment power with respect to all common shares held by that person. The information regarding common shares beneficially owned after the offering assumes the sale of all common shares offered by the selling securityholders identified below, and that such selling securityholders do not acquire any additional common shares or additional securities convertible, exchangeable or exercisable into additional common shares. Information in the table below is based on information filed with the SEC or obtained from the persons identified below.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 w:name="page13"/>
    <w:bookmarkEnd w:id="12"/>
    <w:p>
      <w:pPr>
        <w:ind w:left="12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Unless otherwise indicated below, the address for each beneficial owner is Atai Beckley N.V., Prof.</w:t>
      </w:r>
    </w:p>
    <w:p>
      <w:pPr>
        <w:spacing w:after="0" w:line="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J.H. Bavincklaan 7, 1183 AT Amstelveen, the Netherlands.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 Ownership Prior</w:t>
            </w:r>
          </w:p>
        </w:tc>
        <w:tc>
          <w:tcPr>
            <w:tcW w:w="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 Number of</w:t>
            </w:r>
          </w:p>
        </w:tc>
        <w:tc>
          <w:tcPr>
            <w:tcW w:w="60" w:type="dxa"/>
            <w:vAlign w:val="bottom"/>
          </w:tcPr>
          <w:p>
            <w:pPr>
              <w:spacing w:after="0"/>
              <w:rPr>
                <w:sz w:val="12"/>
                <w:szCs w:val="12"/>
                <w:color w:val="auto"/>
              </w:rPr>
            </w:pP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Beneficial Ownership After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Common Shares Subject to</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of All Common Shares</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586"/>
              <w:spacing w:after="0" w:line="137"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Pursuant to this</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Subject to Resale Pursuant to</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Securityholders</w:t>
            </w: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200" w:type="dxa"/>
            <w:vAlign w:val="bottom"/>
          </w:tcPr>
          <w:p>
            <w:pPr>
              <w:spacing w:after="0"/>
              <w:rPr>
                <w:sz w:val="19"/>
                <w:szCs w:val="19"/>
                <w:color w:val="auto"/>
              </w:rPr>
            </w:pPr>
          </w:p>
        </w:tc>
        <w:tc>
          <w:tcPr>
            <w:tcW w:w="26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2134255 Ontario Inc</w:t>
            </w:r>
            <w:r>
              <w:rPr>
                <w:rFonts w:ascii="Times New Roman" w:cs="Times New Roman" w:eastAsia="Times New Roman" w:hAnsi="Times New Roman"/>
                <w:sz w:val="24"/>
                <w:szCs w:val="24"/>
                <w:color w:val="auto"/>
                <w:vertAlign w:val="superscript"/>
              </w:rPr>
              <w:t>(1)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9,870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9,870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2171117 Ontario Inc</w:t>
            </w:r>
            <w:r>
              <w:rPr>
                <w:rFonts w:ascii="Times New Roman" w:cs="Times New Roman" w:eastAsia="Times New Roman" w:hAnsi="Times New Roman"/>
                <w:sz w:val="24"/>
                <w:szCs w:val="24"/>
                <w:color w:val="auto"/>
                <w:vertAlign w:val="superscript"/>
              </w:rPr>
              <w:t>(2)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41,639</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41,639</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2180447 Ontario Inc</w:t>
            </w:r>
            <w:r>
              <w:rPr>
                <w:rFonts w:ascii="Times New Roman" w:cs="Times New Roman" w:eastAsia="Times New Roman" w:hAnsi="Times New Roman"/>
                <w:sz w:val="24"/>
                <w:szCs w:val="24"/>
                <w:color w:val="auto"/>
                <w:vertAlign w:val="superscript"/>
              </w:rPr>
              <w:t>(3)</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136,227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136,227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781526 Ontario Inc</w:t>
            </w:r>
            <w:r>
              <w:rPr>
                <w:rFonts w:ascii="Times New Roman" w:cs="Times New Roman" w:eastAsia="Times New Roman" w:hAnsi="Times New Roman"/>
                <w:sz w:val="24"/>
                <w:szCs w:val="24"/>
                <w:color w:val="auto"/>
                <w:vertAlign w:val="superscript"/>
              </w:rPr>
              <w:t>(4)</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414,294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414,294</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Aaron Rotenberg</w:t>
            </w:r>
            <w:r>
              <w:rPr>
                <w:rFonts w:ascii="Times New Roman" w:cs="Times New Roman" w:eastAsia="Times New Roman" w:hAnsi="Times New Roman"/>
                <w:sz w:val="24"/>
                <w:szCs w:val="24"/>
                <w:color w:val="auto"/>
                <w:vertAlign w:val="superscript"/>
              </w:rPr>
              <w:t>(5)</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16,450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16,450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Abib Bocresion</w:t>
            </w:r>
            <w:r>
              <w:rPr>
                <w:rFonts w:ascii="Times New Roman" w:cs="Times New Roman" w:eastAsia="Times New Roman" w:hAnsi="Times New Roman"/>
                <w:sz w:val="24"/>
                <w:szCs w:val="24"/>
                <w:color w:val="auto"/>
                <w:vertAlign w:val="superscript"/>
              </w:rPr>
              <w:t>(6)</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99,378</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99,378</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Adage Capital Partners LP</w:t>
            </w:r>
            <w:r>
              <w:rPr>
                <w:rFonts w:ascii="Times New Roman" w:cs="Times New Roman" w:eastAsia="Times New Roman" w:hAnsi="Times New Roman"/>
                <w:sz w:val="24"/>
                <w:szCs w:val="24"/>
                <w:color w:val="auto"/>
                <w:vertAlign w:val="superscript"/>
              </w:rPr>
              <w:t>(7)</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7,079,846</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1.95%</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1,645,064</w:t>
            </w:r>
          </w:p>
        </w:tc>
        <w:tc>
          <w:tcPr>
            <w:tcW w:w="104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5,434,782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Adam Balon</w:t>
            </w:r>
            <w:r>
              <w:rPr>
                <w:rFonts w:ascii="Times New Roman" w:cs="Times New Roman" w:eastAsia="Times New Roman" w:hAnsi="Times New Roman"/>
                <w:sz w:val="24"/>
                <w:szCs w:val="24"/>
                <w:color w:val="auto"/>
                <w:vertAlign w:val="superscript"/>
              </w:rPr>
              <w:t>(8)</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149,108</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149,108</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Adam Zeitlin</w:t>
            </w:r>
            <w:r>
              <w:rPr>
                <w:rFonts w:ascii="Times New Roman" w:cs="Times New Roman" w:eastAsia="Times New Roman" w:hAnsi="Times New Roman"/>
                <w:sz w:val="24"/>
                <w:szCs w:val="24"/>
                <w:color w:val="auto"/>
                <w:vertAlign w:val="superscript"/>
              </w:rPr>
              <w:t>(9)</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24,675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24,675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Aditya Kohli</w:t>
            </w:r>
            <w:r>
              <w:rPr>
                <w:rFonts w:ascii="Times New Roman" w:cs="Times New Roman" w:eastAsia="Times New Roman" w:hAnsi="Times New Roman"/>
                <w:sz w:val="24"/>
                <w:szCs w:val="24"/>
                <w:color w:val="auto"/>
                <w:vertAlign w:val="superscript"/>
              </w:rPr>
              <w:t>(10)</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5,433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5,433</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Alexander Gerskowitch</w:t>
            </w:r>
            <w:r>
              <w:rPr>
                <w:rFonts w:ascii="Times New Roman" w:cs="Times New Roman" w:eastAsia="Times New Roman" w:hAnsi="Times New Roman"/>
                <w:sz w:val="24"/>
                <w:szCs w:val="24"/>
                <w:color w:val="auto"/>
                <w:vertAlign w:val="superscript"/>
              </w:rPr>
              <w:t>(11)</w:t>
            </w: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116,224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116,224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Alisa Ng</w:t>
            </w:r>
            <w:r>
              <w:rPr>
                <w:rFonts w:ascii="Times New Roman" w:cs="Times New Roman" w:eastAsia="Times New Roman" w:hAnsi="Times New Roman"/>
                <w:sz w:val="24"/>
                <w:szCs w:val="24"/>
                <w:color w:val="auto"/>
                <w:vertAlign w:val="superscript"/>
              </w:rPr>
              <w:t>(12)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18,331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18,331</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Alternative Health Partners LP</w:t>
            </w:r>
            <w:r>
              <w:rPr>
                <w:rFonts w:ascii="Times New Roman" w:cs="Times New Roman" w:eastAsia="Times New Roman" w:hAnsi="Times New Roman"/>
                <w:sz w:val="24"/>
                <w:szCs w:val="24"/>
                <w:color w:val="auto"/>
                <w:vertAlign w:val="superscript"/>
              </w:rPr>
              <w:t>(13)</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32,901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32,901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Andrea Cambre</w:t>
            </w:r>
            <w:r>
              <w:rPr>
                <w:rFonts w:ascii="Times New Roman" w:cs="Times New Roman" w:eastAsia="Times New Roman" w:hAnsi="Times New Roman"/>
                <w:sz w:val="24"/>
                <w:szCs w:val="24"/>
                <w:color w:val="auto"/>
                <w:vertAlign w:val="superscript"/>
              </w:rPr>
              <w:t>(14)</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466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466</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Anthony Grenier</w:t>
            </w:r>
            <w:r>
              <w:rPr>
                <w:rFonts w:ascii="Times New Roman" w:cs="Times New Roman" w:eastAsia="Times New Roman" w:hAnsi="Times New Roman"/>
                <w:sz w:val="24"/>
                <w:szCs w:val="24"/>
                <w:color w:val="auto"/>
                <w:vertAlign w:val="superscript"/>
              </w:rPr>
              <w:t>(15)</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384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384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Apeiron Investment Group Ltd.</w:t>
            </w:r>
            <w:r>
              <w:rPr>
                <w:rFonts w:ascii="Times New Roman" w:cs="Times New Roman" w:eastAsia="Times New Roman" w:hAnsi="Times New Roman"/>
                <w:sz w:val="24"/>
                <w:szCs w:val="24"/>
                <w:color w:val="auto"/>
                <w:vertAlign w:val="superscript"/>
              </w:rPr>
              <w:t>(16)</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55,211,716</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15.20%</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40,528,022</w:t>
            </w:r>
          </w:p>
        </w:tc>
        <w:tc>
          <w:tcPr>
            <w:tcW w:w="104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rPr>
              <w:t>14,683,694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4.03%</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Arnaud Massenet</w:t>
            </w:r>
            <w:r>
              <w:rPr>
                <w:rFonts w:ascii="Times New Roman" w:cs="Times New Roman" w:eastAsia="Times New Roman" w:hAnsi="Times New Roman"/>
                <w:sz w:val="24"/>
                <w:szCs w:val="24"/>
                <w:color w:val="auto"/>
                <w:vertAlign w:val="superscript"/>
              </w:rPr>
              <w:t>(17)</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312,695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312,695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Ask America LLC</w:t>
            </w:r>
            <w:r>
              <w:rPr>
                <w:rFonts w:ascii="Times New Roman" w:cs="Times New Roman" w:eastAsia="Times New Roman" w:hAnsi="Times New Roman"/>
                <w:sz w:val="24"/>
                <w:szCs w:val="24"/>
                <w:color w:val="auto"/>
                <w:vertAlign w:val="superscript"/>
              </w:rPr>
              <w:t>(18)</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658,026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658,026</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Avenue H Capital LLC</w:t>
            </w:r>
            <w:r>
              <w:rPr>
                <w:rFonts w:ascii="Times New Roman" w:cs="Times New Roman" w:eastAsia="Times New Roman" w:hAnsi="Times New Roman"/>
                <w:sz w:val="24"/>
                <w:szCs w:val="24"/>
                <w:color w:val="auto"/>
                <w:vertAlign w:val="superscript"/>
              </w:rPr>
              <w:t>(19)</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16,450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16,450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Axon Partners LP</w:t>
            </w:r>
            <w:r>
              <w:rPr>
                <w:rFonts w:ascii="Times New Roman" w:cs="Times New Roman" w:eastAsia="Times New Roman" w:hAnsi="Times New Roman"/>
                <w:sz w:val="24"/>
                <w:szCs w:val="24"/>
                <w:color w:val="auto"/>
                <w:vertAlign w:val="superscript"/>
              </w:rPr>
              <w:t>(20)</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305,802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305,802</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Ayuh Ventures I (A Series of Ayuh</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2"/>
            <w:shd w:val="clear" w:color="auto" w:fill="CCEEFF"/>
          </w:tcPr>
          <w:p>
            <w:pPr>
              <w:ind w:left="140"/>
              <w:spacing w:after="0" w:line="236" w:lineRule="exact"/>
              <w:rPr>
                <w:sz w:val="20"/>
                <w:szCs w:val="20"/>
                <w:color w:val="auto"/>
              </w:rPr>
            </w:pPr>
            <w:r>
              <w:rPr>
                <w:rFonts w:ascii="Times New Roman" w:cs="Times New Roman" w:eastAsia="Times New Roman" w:hAnsi="Times New Roman"/>
                <w:sz w:val="15"/>
                <w:szCs w:val="15"/>
                <w:color w:val="auto"/>
              </w:rPr>
              <w:t>Ventures, LLC)</w:t>
            </w:r>
            <w:r>
              <w:rPr>
                <w:rFonts w:ascii="Times New Roman" w:cs="Times New Roman" w:eastAsia="Times New Roman" w:hAnsi="Times New Roman"/>
                <w:sz w:val="24"/>
                <w:szCs w:val="24"/>
                <w:color w:val="auto"/>
                <w:vertAlign w:val="superscript"/>
              </w:rPr>
              <w:t>(21)</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244,292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244,292</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BEC Fund I a series of Psychedelic</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2"/>
          </w:tcPr>
          <w:p>
            <w:pPr>
              <w:ind w:left="140"/>
              <w:spacing w:after="0" w:line="236" w:lineRule="exact"/>
              <w:rPr>
                <w:sz w:val="20"/>
                <w:szCs w:val="20"/>
                <w:color w:val="auto"/>
              </w:rPr>
            </w:pPr>
            <w:r>
              <w:rPr>
                <w:rFonts w:ascii="Times New Roman" w:cs="Times New Roman" w:eastAsia="Times New Roman" w:hAnsi="Times New Roman"/>
                <w:sz w:val="15"/>
                <w:szCs w:val="15"/>
                <w:color w:val="auto"/>
              </w:rPr>
              <w:t>Medicine SPV LP</w:t>
            </w:r>
            <w:r>
              <w:rPr>
                <w:rFonts w:ascii="Times New Roman" w:cs="Times New Roman" w:eastAsia="Times New Roman" w:hAnsi="Times New Roman"/>
                <w:sz w:val="24"/>
                <w:szCs w:val="24"/>
                <w:color w:val="auto"/>
                <w:vertAlign w:val="superscript"/>
              </w:rPr>
              <w:t>(22)</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77,922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77,922</w:t>
            </w:r>
          </w:p>
        </w:tc>
        <w:tc>
          <w:tcPr>
            <w:tcW w:w="60" w:type="dxa"/>
            <w:vAlign w:val="bottom"/>
          </w:tcPr>
          <w:p>
            <w:pPr>
              <w:spacing w:after="0"/>
              <w:rPr>
                <w:sz w:val="20"/>
                <w:szCs w:val="20"/>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Ben Catt</w:t>
            </w:r>
            <w:r>
              <w:rPr>
                <w:rFonts w:ascii="Times New Roman" w:cs="Times New Roman" w:eastAsia="Times New Roman" w:hAnsi="Times New Roman"/>
                <w:sz w:val="24"/>
                <w:szCs w:val="24"/>
                <w:color w:val="auto"/>
                <w:vertAlign w:val="superscript"/>
              </w:rPr>
              <w:t>(23)</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23,244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23,244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Benjamin Collins</w:t>
            </w:r>
            <w:r>
              <w:rPr>
                <w:rFonts w:ascii="Times New Roman" w:cs="Times New Roman" w:eastAsia="Times New Roman" w:hAnsi="Times New Roman"/>
                <w:sz w:val="24"/>
                <w:szCs w:val="24"/>
                <w:color w:val="auto"/>
                <w:vertAlign w:val="superscript"/>
              </w:rPr>
              <w:t>(24)</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23,244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23,244</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Beth E Boyer</w:t>
            </w:r>
            <w:r>
              <w:rPr>
                <w:rFonts w:ascii="Times New Roman" w:cs="Times New Roman" w:eastAsia="Times New Roman" w:hAnsi="Times New Roman"/>
                <w:sz w:val="24"/>
                <w:szCs w:val="24"/>
                <w:color w:val="auto"/>
                <w:vertAlign w:val="superscript"/>
              </w:rPr>
              <w:t>(25)</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7,861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7,861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Bilton Investments Limited (61354)</w:t>
            </w:r>
            <w:r>
              <w:rPr>
                <w:rFonts w:ascii="Times New Roman" w:cs="Times New Roman" w:eastAsia="Times New Roman" w:hAnsi="Times New Roman"/>
                <w:sz w:val="24"/>
                <w:szCs w:val="24"/>
                <w:color w:val="auto"/>
                <w:vertAlign w:val="superscript"/>
              </w:rPr>
              <w:t>(26)</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2,268,875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2,268,875</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Braver Investment Group Limited</w:t>
            </w:r>
            <w:r>
              <w:rPr>
                <w:rFonts w:ascii="Times New Roman" w:cs="Times New Roman" w:eastAsia="Times New Roman" w:hAnsi="Times New Roman"/>
                <w:sz w:val="24"/>
                <w:szCs w:val="24"/>
                <w:color w:val="auto"/>
                <w:vertAlign w:val="superscript"/>
              </w:rPr>
              <w:t>(27)</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32,901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32,901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BWCI Pension Trustees Limited as Trustee</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of the Deferred Retirement Annuity</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2"/>
          </w:tcPr>
          <w:p>
            <w:pPr>
              <w:ind w:left="140"/>
              <w:spacing w:after="0" w:line="236" w:lineRule="exact"/>
              <w:rPr>
                <w:sz w:val="20"/>
                <w:szCs w:val="20"/>
                <w:color w:val="auto"/>
              </w:rPr>
            </w:pPr>
            <w:r>
              <w:rPr>
                <w:rFonts w:ascii="Times New Roman" w:cs="Times New Roman" w:eastAsia="Times New Roman" w:hAnsi="Times New Roman"/>
                <w:sz w:val="15"/>
                <w:szCs w:val="15"/>
                <w:color w:val="auto"/>
              </w:rPr>
              <w:t>Trust Scheme ref a/c 1123/055</w:t>
            </w:r>
            <w:r>
              <w:rPr>
                <w:rFonts w:ascii="Times New Roman" w:cs="Times New Roman" w:eastAsia="Times New Roman" w:hAnsi="Times New Roman"/>
                <w:sz w:val="24"/>
                <w:szCs w:val="24"/>
                <w:color w:val="auto"/>
                <w:vertAlign w:val="superscript"/>
              </w:rPr>
              <w:t>(28)</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62,538</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62,538</w:t>
            </w:r>
          </w:p>
        </w:tc>
        <w:tc>
          <w:tcPr>
            <w:tcW w:w="60" w:type="dxa"/>
            <w:vAlign w:val="bottom"/>
          </w:tcPr>
          <w:p>
            <w:pPr>
              <w:spacing w:after="0"/>
              <w:rPr>
                <w:sz w:val="20"/>
                <w:szCs w:val="20"/>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Capital Equipment Services Ltd</w:t>
            </w:r>
            <w:r>
              <w:rPr>
                <w:rFonts w:ascii="Times New Roman" w:cs="Times New Roman" w:eastAsia="Times New Roman" w:hAnsi="Times New Roman"/>
                <w:sz w:val="24"/>
                <w:szCs w:val="24"/>
                <w:color w:val="auto"/>
                <w:vertAlign w:val="superscript"/>
              </w:rPr>
              <w:t>(29)</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8,225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8,225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Caroline Calascione</w:t>
            </w:r>
            <w:r>
              <w:rPr>
                <w:rFonts w:ascii="Times New Roman" w:cs="Times New Roman" w:eastAsia="Times New Roman" w:hAnsi="Times New Roman"/>
                <w:sz w:val="24"/>
                <w:szCs w:val="24"/>
                <w:color w:val="auto"/>
                <w:vertAlign w:val="superscript"/>
              </w:rPr>
              <w:t>(30)</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195,433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195,433</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Charles D. Nichols</w:t>
            </w:r>
            <w:r>
              <w:rPr>
                <w:rFonts w:ascii="Times New Roman" w:cs="Times New Roman" w:eastAsia="Times New Roman" w:hAnsi="Times New Roman"/>
                <w:sz w:val="24"/>
                <w:szCs w:val="24"/>
                <w:color w:val="auto"/>
                <w:vertAlign w:val="superscript"/>
              </w:rPr>
              <w:t>(31)</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126,380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126,380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Chris Schnarr</w:t>
            </w:r>
            <w:r>
              <w:rPr>
                <w:rFonts w:ascii="Times New Roman" w:cs="Times New Roman" w:eastAsia="Times New Roman" w:hAnsi="Times New Roman"/>
                <w:sz w:val="24"/>
                <w:szCs w:val="24"/>
                <w:color w:val="auto"/>
                <w:vertAlign w:val="superscript"/>
              </w:rPr>
              <w:t>(32)</w:t>
            </w: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456,011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456,011</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Chris Tuohy</w:t>
            </w:r>
            <w:r>
              <w:rPr>
                <w:rFonts w:ascii="Times New Roman" w:cs="Times New Roman" w:eastAsia="Times New Roman" w:hAnsi="Times New Roman"/>
                <w:sz w:val="24"/>
                <w:szCs w:val="24"/>
                <w:color w:val="auto"/>
                <w:vertAlign w:val="superscript"/>
              </w:rPr>
              <w:t>(33)</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46,489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46,489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Christian Angermayer</w:t>
            </w:r>
            <w:r>
              <w:rPr>
                <w:rFonts w:ascii="Times New Roman" w:cs="Times New Roman" w:eastAsia="Times New Roman" w:hAnsi="Times New Roman"/>
                <w:sz w:val="24"/>
                <w:szCs w:val="24"/>
                <w:color w:val="auto"/>
                <w:vertAlign w:val="superscript"/>
              </w:rPr>
              <w:t>(15)</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56,551,379</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15.57%</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1,339,663</w:t>
            </w:r>
          </w:p>
        </w:tc>
        <w:tc>
          <w:tcPr>
            <w:tcW w:w="104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rPr>
              <w:t>55,211,716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15.20%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Concentric Ermak Co-Investment SPV</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2"/>
            <w:shd w:val="clear" w:color="auto" w:fill="CCEEFF"/>
          </w:tcPr>
          <w:p>
            <w:pPr>
              <w:ind w:left="140"/>
              <w:spacing w:after="0" w:line="236" w:lineRule="exact"/>
              <w:rPr>
                <w:sz w:val="20"/>
                <w:szCs w:val="20"/>
                <w:color w:val="auto"/>
              </w:rPr>
            </w:pPr>
            <w:r>
              <w:rPr>
                <w:rFonts w:ascii="Times New Roman" w:cs="Times New Roman" w:eastAsia="Times New Roman" w:hAnsi="Times New Roman"/>
                <w:sz w:val="27"/>
                <w:szCs w:val="27"/>
                <w:color w:val="auto"/>
                <w:vertAlign w:val="subscript"/>
              </w:rPr>
              <w:t>LLP</w:t>
            </w:r>
            <w:r>
              <w:rPr>
                <w:rFonts w:ascii="Times New Roman" w:cs="Times New Roman" w:eastAsia="Times New Roman" w:hAnsi="Times New Roman"/>
                <w:sz w:val="12"/>
                <w:szCs w:val="12"/>
                <w:color w:val="auto"/>
              </w:rPr>
              <w:t>(34)</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526,420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526,420</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CORLEV Holdings Inc.</w:t>
            </w:r>
            <w:r>
              <w:rPr>
                <w:rFonts w:ascii="Times New Roman" w:cs="Times New Roman" w:eastAsia="Times New Roman" w:hAnsi="Times New Roman"/>
                <w:sz w:val="24"/>
                <w:szCs w:val="24"/>
                <w:color w:val="auto"/>
                <w:vertAlign w:val="superscript"/>
              </w:rPr>
              <w:t>(35)</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32,901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32,901</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Cosmo Feilding-Mellen</w:t>
            </w:r>
            <w:r>
              <w:rPr>
                <w:rFonts w:ascii="Times New Roman" w:cs="Times New Roman" w:eastAsia="Times New Roman" w:hAnsi="Times New Roman"/>
                <w:sz w:val="24"/>
                <w:szCs w:val="24"/>
                <w:color w:val="auto"/>
                <w:vertAlign w:val="superscript"/>
              </w:rPr>
              <w:t>(36)</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6,967,861</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1.92%</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6,967,861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CPT INC</w:t>
            </w:r>
            <w:r>
              <w:rPr>
                <w:rFonts w:ascii="Times New Roman" w:cs="Times New Roman" w:eastAsia="Times New Roman" w:hAnsi="Times New Roman"/>
                <w:sz w:val="24"/>
                <w:szCs w:val="24"/>
                <w:color w:val="auto"/>
                <w:vertAlign w:val="superscript"/>
              </w:rPr>
              <w:t>(37)</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32,572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32,572</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Dark Peak Services Ltd</w:t>
            </w:r>
            <w:r>
              <w:rPr>
                <w:rFonts w:ascii="Times New Roman" w:cs="Times New Roman" w:eastAsia="Times New Roman" w:hAnsi="Times New Roman"/>
                <w:sz w:val="24"/>
                <w:szCs w:val="24"/>
                <w:color w:val="auto"/>
                <w:vertAlign w:val="superscript"/>
              </w:rPr>
              <w:t>(38)</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41,640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41,640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David Amouyal</w:t>
            </w:r>
            <w:r>
              <w:rPr>
                <w:rFonts w:ascii="Times New Roman" w:cs="Times New Roman" w:eastAsia="Times New Roman" w:hAnsi="Times New Roman"/>
                <w:sz w:val="24"/>
                <w:szCs w:val="24"/>
                <w:color w:val="auto"/>
                <w:vertAlign w:val="superscript"/>
              </w:rPr>
              <w:t>(39)</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65,802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65,802</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David D'Onofrio</w:t>
            </w:r>
            <w:r>
              <w:rPr>
                <w:rFonts w:ascii="Times New Roman" w:cs="Times New Roman" w:eastAsia="Times New Roman" w:hAnsi="Times New Roman"/>
                <w:sz w:val="24"/>
                <w:szCs w:val="24"/>
                <w:color w:val="auto"/>
                <w:vertAlign w:val="superscript"/>
              </w:rPr>
              <w:t>(40)</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51,191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51,191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tcPr>
          <w:p>
            <w:pPr>
              <w:spacing w:after="0" w:line="224" w:lineRule="exact"/>
              <w:rPr>
                <w:sz w:val="20"/>
                <w:szCs w:val="20"/>
                <w:color w:val="auto"/>
              </w:rPr>
            </w:pPr>
            <w:r>
              <w:rPr>
                <w:rFonts w:ascii="Times New Roman" w:cs="Times New Roman" w:eastAsia="Times New Roman" w:hAnsi="Times New Roman"/>
                <w:sz w:val="15"/>
                <w:szCs w:val="15"/>
                <w:color w:val="auto"/>
              </w:rPr>
              <w:t>David Earl Nichols</w:t>
            </w:r>
            <w:r>
              <w:rPr>
                <w:rFonts w:ascii="Times New Roman" w:cs="Times New Roman" w:eastAsia="Times New Roman" w:hAnsi="Times New Roman"/>
                <w:sz w:val="24"/>
                <w:szCs w:val="24"/>
                <w:color w:val="auto"/>
                <w:vertAlign w:val="superscript"/>
              </w:rPr>
              <w:t>(41)</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76,991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76,991</w:t>
            </w:r>
          </w:p>
        </w:tc>
        <w:tc>
          <w:tcPr>
            <w:tcW w:w="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2"/>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Dean Shoosmith</w:t>
            </w:r>
            <w:r>
              <w:rPr>
                <w:rFonts w:ascii="Times New Roman" w:cs="Times New Roman" w:eastAsia="Times New Roman" w:hAnsi="Times New Roman"/>
                <w:sz w:val="24"/>
                <w:szCs w:val="24"/>
                <w:color w:val="auto"/>
                <w:vertAlign w:val="superscript"/>
              </w:rPr>
              <w:t>(42)</w:t>
            </w:r>
          </w:p>
        </w:tc>
        <w:tc>
          <w:tcPr>
            <w:tcW w:w="9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23,244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394"/>
              <w:spacing w:after="0"/>
              <w:rPr>
                <w:sz w:val="20"/>
                <w:szCs w:val="20"/>
                <w:color w:val="auto"/>
              </w:rPr>
            </w:pPr>
            <w:r>
              <w:rPr>
                <w:rFonts w:ascii="Times New Roman" w:cs="Times New Roman" w:eastAsia="Times New Roman" w:hAnsi="Times New Roman"/>
                <w:sz w:val="15"/>
                <w:szCs w:val="15"/>
                <w:color w:val="auto"/>
              </w:rPr>
              <w:t>23,244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Delphi SERIES BECKLEY PSYTECH a</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Series of Delphi SPV Series LLC a</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1200" w:type="dxa"/>
            <w:vAlign w:val="bottom"/>
          </w:tcPr>
          <w:p>
            <w:pPr>
              <w:spacing w:after="0"/>
              <w:rPr>
                <w:sz w:val="24"/>
                <w:szCs w:val="24"/>
                <w:color w:val="auto"/>
              </w:rPr>
            </w:pP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Delaware Series LLC</w:t>
            </w:r>
            <w:r>
              <w:rPr>
                <w:rFonts w:ascii="Times New Roman" w:cs="Times New Roman" w:eastAsia="Times New Roman" w:hAnsi="Times New Roman"/>
                <w:sz w:val="24"/>
                <w:szCs w:val="24"/>
                <w:color w:val="auto"/>
                <w:vertAlign w:val="superscript"/>
              </w:rPr>
              <w:t>(43)</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658,026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394"/>
              <w:spacing w:after="0"/>
              <w:rPr>
                <w:sz w:val="20"/>
                <w:szCs w:val="20"/>
                <w:color w:val="auto"/>
              </w:rPr>
            </w:pPr>
            <w:r>
              <w:rPr>
                <w:rFonts w:ascii="Times New Roman" w:cs="Times New Roman" w:eastAsia="Times New Roman" w:hAnsi="Times New Roman"/>
                <w:sz w:val="15"/>
                <w:szCs w:val="15"/>
                <w:color w:val="auto"/>
              </w:rPr>
              <w:t>658,026</w:t>
            </w:r>
          </w:p>
        </w:tc>
        <w:tc>
          <w:tcPr>
            <w:tcW w:w="60" w:type="dxa"/>
            <w:vAlign w:val="bottom"/>
          </w:tcPr>
          <w:p>
            <w:pPr>
              <w:spacing w:after="0"/>
              <w:rPr>
                <w:sz w:val="24"/>
                <w:szCs w:val="24"/>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S-11</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880" w:top="254" w:right="8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1200" w:type="dxa"/>
            <w:vAlign w:val="bottom"/>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Beneficial Ownership Prior</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 Number of</w:t>
            </w:r>
          </w:p>
        </w:tc>
        <w:tc>
          <w:tcPr>
            <w:tcW w:w="60" w:type="dxa"/>
            <w:vAlign w:val="bottom"/>
          </w:tcPr>
          <w:p>
            <w:pPr>
              <w:spacing w:after="0"/>
              <w:rPr>
                <w:sz w:val="24"/>
                <w:szCs w:val="24"/>
                <w:color w:val="auto"/>
              </w:rPr>
            </w:pPr>
          </w:p>
        </w:tc>
        <w:tc>
          <w:tcPr>
            <w:tcW w:w="17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Beneficial Ownership After</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Common Shares Subject to</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of All Common Shares</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6"/>
              <w:spacing w:after="0" w:line="137" w:lineRule="exact"/>
              <w:rPr>
                <w:sz w:val="20"/>
                <w:szCs w:val="20"/>
                <w:color w:val="auto"/>
              </w:rPr>
            </w:pPr>
            <w:r>
              <w:rPr>
                <w:rFonts w:ascii="Times New Roman" w:cs="Times New Roman" w:eastAsia="Times New Roman" w:hAnsi="Times New Roman"/>
                <w:sz w:val="13"/>
                <w:szCs w:val="13"/>
                <w:b w:val="1"/>
                <w:bCs w:val="1"/>
                <w:color w:val="auto"/>
              </w:rPr>
              <w:t>to</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Pursuant to this</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Subject to Resale Pursuant to</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2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Securityholders</w:t>
            </w: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200" w:type="dxa"/>
            <w:vAlign w:val="bottom"/>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DNI Investments Pty Ltd ATF Ioannidis</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15"/>
                <w:szCs w:val="15"/>
                <w:color w:val="auto"/>
              </w:rPr>
              <w:t>Family Trust</w:t>
            </w:r>
            <w:r>
              <w:rPr>
                <w:rFonts w:ascii="Times New Roman" w:cs="Times New Roman" w:eastAsia="Times New Roman" w:hAnsi="Times New Roman"/>
                <w:sz w:val="24"/>
                <w:szCs w:val="24"/>
                <w:color w:val="auto"/>
                <w:vertAlign w:val="superscript"/>
              </w:rPr>
              <w:t>(44)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23,452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23,452</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ECZACIBASI MOMENTUM</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TEKNOLOJİ YATIRIMLARI ANONİM</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tcPr>
          <w:p>
            <w:pPr>
              <w:ind w:left="140"/>
              <w:spacing w:after="0" w:line="236" w:lineRule="exact"/>
              <w:rPr>
                <w:sz w:val="20"/>
                <w:szCs w:val="20"/>
                <w:color w:val="auto"/>
              </w:rPr>
            </w:pPr>
            <w:r>
              <w:rPr>
                <w:rFonts w:ascii="Times New Roman" w:cs="Times New Roman" w:eastAsia="Times New Roman" w:hAnsi="Times New Roman"/>
                <w:sz w:val="15"/>
                <w:szCs w:val="15"/>
                <w:color w:val="auto"/>
              </w:rPr>
              <w:t>ŞİRKETİ</w:t>
            </w:r>
            <w:r>
              <w:rPr>
                <w:rFonts w:ascii="Times New Roman" w:cs="Times New Roman" w:eastAsia="Times New Roman" w:hAnsi="Times New Roman"/>
                <w:sz w:val="24"/>
                <w:szCs w:val="24"/>
                <w:color w:val="auto"/>
                <w:vertAlign w:val="superscript"/>
              </w:rPr>
              <w:t>(45)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155,634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155,634</w:t>
            </w:r>
          </w:p>
        </w:tc>
        <w:tc>
          <w:tcPr>
            <w:tcW w:w="60" w:type="dxa"/>
            <w:vAlign w:val="bottom"/>
          </w:tcPr>
          <w:p>
            <w:pPr>
              <w:spacing w:after="0"/>
              <w:rPr>
                <w:sz w:val="20"/>
                <w:szCs w:val="20"/>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Eduardo Garcia Lopez Loaeza</w:t>
            </w:r>
            <w:r>
              <w:rPr>
                <w:rFonts w:ascii="Times New Roman" w:cs="Times New Roman" w:eastAsia="Times New Roman" w:hAnsi="Times New Roman"/>
                <w:sz w:val="24"/>
                <w:szCs w:val="24"/>
                <w:color w:val="auto"/>
                <w:vertAlign w:val="superscript"/>
              </w:rPr>
              <w:t>(46)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204,067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204,067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Elad Kohen</w:t>
            </w:r>
            <w:r>
              <w:rPr>
                <w:rFonts w:ascii="Times New Roman" w:cs="Times New Roman" w:eastAsia="Times New Roman" w:hAnsi="Times New Roman"/>
                <w:sz w:val="24"/>
                <w:szCs w:val="24"/>
                <w:color w:val="auto"/>
                <w:vertAlign w:val="superscript"/>
              </w:rPr>
              <w:t>(47)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115,154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115,154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Elisha Wiesel</w:t>
            </w:r>
            <w:r>
              <w:rPr>
                <w:rFonts w:ascii="Times New Roman" w:cs="Times New Roman" w:eastAsia="Times New Roman" w:hAnsi="Times New Roman"/>
                <w:sz w:val="24"/>
                <w:szCs w:val="24"/>
                <w:color w:val="auto"/>
                <w:vertAlign w:val="superscript"/>
              </w:rPr>
              <w:t>(48)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40,986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40,986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Elzbieta Madej</w:t>
            </w:r>
            <w:r>
              <w:rPr>
                <w:rFonts w:ascii="Times New Roman" w:cs="Times New Roman" w:eastAsia="Times New Roman" w:hAnsi="Times New Roman"/>
                <w:sz w:val="24"/>
                <w:szCs w:val="24"/>
                <w:color w:val="auto"/>
                <w:vertAlign w:val="superscript"/>
              </w:rPr>
              <w:t>(49)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31,269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31,269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Trust Company Custodian FBO</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15"/>
                <w:szCs w:val="15"/>
                <w:color w:val="auto"/>
              </w:rPr>
              <w:t>Steven Rosenberg</w:t>
            </w:r>
            <w:r>
              <w:rPr>
                <w:rFonts w:ascii="Times New Roman" w:cs="Times New Roman" w:eastAsia="Times New Roman" w:hAnsi="Times New Roman"/>
                <w:sz w:val="24"/>
                <w:szCs w:val="24"/>
                <w:color w:val="auto"/>
                <w:vertAlign w:val="superscript"/>
              </w:rPr>
              <w:t>(50)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7,861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7,861</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Eric Rapps</w:t>
            </w:r>
            <w:r>
              <w:rPr>
                <w:rFonts w:ascii="Times New Roman" w:cs="Times New Roman" w:eastAsia="Times New Roman" w:hAnsi="Times New Roman"/>
                <w:sz w:val="24"/>
                <w:szCs w:val="24"/>
                <w:color w:val="auto"/>
                <w:vertAlign w:val="superscript"/>
              </w:rPr>
              <w:t>(51)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41,127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41,127</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Ervey Clarke</w:t>
            </w:r>
            <w:r>
              <w:rPr>
                <w:rFonts w:ascii="Times New Roman" w:cs="Times New Roman" w:eastAsia="Times New Roman" w:hAnsi="Times New Roman"/>
                <w:sz w:val="24"/>
                <w:szCs w:val="24"/>
                <w:color w:val="auto"/>
                <w:vertAlign w:val="superscript"/>
              </w:rPr>
              <w:t>(52)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5,535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5,535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Estate of Amanda Feilding</w:t>
            </w:r>
            <w:r>
              <w:rPr>
                <w:rFonts w:ascii="Times New Roman" w:cs="Times New Roman" w:eastAsia="Times New Roman" w:hAnsi="Times New Roman"/>
                <w:sz w:val="24"/>
                <w:szCs w:val="24"/>
                <w:color w:val="auto"/>
                <w:vertAlign w:val="superscript"/>
              </w:rPr>
              <w:t>(53)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335,741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325,722</w:t>
            </w: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color w:val="auto"/>
              </w:rPr>
              <w:t>10,019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Feriha Berrak Selek</w:t>
            </w:r>
            <w:r>
              <w:rPr>
                <w:rFonts w:ascii="Times New Roman" w:cs="Times New Roman" w:eastAsia="Times New Roman" w:hAnsi="Times New Roman"/>
                <w:sz w:val="24"/>
                <w:szCs w:val="24"/>
                <w:color w:val="auto"/>
                <w:vertAlign w:val="superscript"/>
              </w:rPr>
              <w:t>(54)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238,161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18,359</w:t>
            </w:r>
          </w:p>
        </w:tc>
        <w:tc>
          <w:tcPr>
            <w:tcW w:w="10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219,802</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Fiducie Daniel Robichaud</w:t>
            </w:r>
            <w:r>
              <w:rPr>
                <w:rFonts w:ascii="Times New Roman" w:cs="Times New Roman" w:eastAsia="Times New Roman" w:hAnsi="Times New Roman"/>
                <w:sz w:val="24"/>
                <w:szCs w:val="24"/>
                <w:color w:val="auto"/>
                <w:vertAlign w:val="superscript"/>
              </w:rPr>
              <w:t>(55)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93,808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93,808</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Trustee Company (NZ) Limited as</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trustee of the First Asia-Pacific</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Retirement Fund- AM Chow Sub</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27"/>
                <w:szCs w:val="27"/>
                <w:color w:val="auto"/>
                <w:vertAlign w:val="subscript"/>
              </w:rPr>
              <w:t>Fund</w:t>
            </w:r>
            <w:r>
              <w:rPr>
                <w:rFonts w:ascii="Times New Roman" w:cs="Times New Roman" w:eastAsia="Times New Roman" w:hAnsi="Times New Roman"/>
                <w:sz w:val="12"/>
                <w:szCs w:val="12"/>
                <w:color w:val="auto"/>
              </w:rPr>
              <w:t>(56)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74,698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74,698</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FJ Labs Entrepreneurs Fund 2021 a series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tcPr>
          <w:p>
            <w:pPr>
              <w:ind w:left="140"/>
              <w:spacing w:after="0" w:line="236" w:lineRule="exact"/>
              <w:rPr>
                <w:sz w:val="20"/>
                <w:szCs w:val="20"/>
                <w:color w:val="auto"/>
              </w:rPr>
            </w:pPr>
            <w:r>
              <w:rPr>
                <w:rFonts w:ascii="Times New Roman" w:cs="Times New Roman" w:eastAsia="Times New Roman" w:hAnsi="Times New Roman"/>
                <w:sz w:val="15"/>
                <w:szCs w:val="15"/>
                <w:color w:val="auto"/>
              </w:rPr>
              <w:t>of FJ Labs Funds LP</w:t>
            </w:r>
            <w:r>
              <w:rPr>
                <w:rFonts w:ascii="Times New Roman" w:cs="Times New Roman" w:eastAsia="Times New Roman" w:hAnsi="Times New Roman"/>
                <w:sz w:val="24"/>
                <w:szCs w:val="24"/>
                <w:color w:val="auto"/>
                <w:vertAlign w:val="superscript"/>
              </w:rPr>
              <w:t>(57)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20,563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20,563</w:t>
            </w:r>
          </w:p>
        </w:tc>
        <w:tc>
          <w:tcPr>
            <w:tcW w:w="60" w:type="dxa"/>
            <w:vAlign w:val="bottom"/>
          </w:tcPr>
          <w:p>
            <w:pPr>
              <w:spacing w:after="0"/>
              <w:rPr>
                <w:sz w:val="20"/>
                <w:szCs w:val="20"/>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FJ Labs LLC</w:t>
            </w:r>
            <w:r>
              <w:rPr>
                <w:rFonts w:ascii="Times New Roman" w:cs="Times New Roman" w:eastAsia="Times New Roman" w:hAnsi="Times New Roman"/>
                <w:sz w:val="24"/>
                <w:szCs w:val="24"/>
                <w:color w:val="auto"/>
                <w:vertAlign w:val="superscript"/>
              </w:rPr>
              <w:t>(58)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61,689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61,689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FutureGen Capital Corporation</w:t>
            </w:r>
            <w:r>
              <w:rPr>
                <w:rFonts w:ascii="Times New Roman" w:cs="Times New Roman" w:eastAsia="Times New Roman" w:hAnsi="Times New Roman"/>
                <w:sz w:val="24"/>
                <w:szCs w:val="24"/>
                <w:color w:val="auto"/>
                <w:vertAlign w:val="superscript"/>
              </w:rPr>
              <w:t>(59)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156,346</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156,346</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Galloway Limited</w:t>
            </w:r>
            <w:r>
              <w:rPr>
                <w:rFonts w:ascii="Times New Roman" w:cs="Times New Roman" w:eastAsia="Times New Roman" w:hAnsi="Times New Roman"/>
                <w:sz w:val="24"/>
                <w:szCs w:val="24"/>
                <w:color w:val="auto"/>
                <w:vertAlign w:val="superscript"/>
              </w:rPr>
              <w:t>(60)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2,109,745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2,109,745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Geoffrey Atkins</w:t>
            </w:r>
            <w:r>
              <w:rPr>
                <w:rFonts w:ascii="Times New Roman" w:cs="Times New Roman" w:eastAsia="Times New Roman" w:hAnsi="Times New Roman"/>
                <w:sz w:val="24"/>
                <w:szCs w:val="24"/>
                <w:color w:val="auto"/>
                <w:vertAlign w:val="superscript"/>
              </w:rPr>
              <w:t>(61)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54,769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54,769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George Barker</w:t>
            </w:r>
            <w:r>
              <w:rPr>
                <w:rFonts w:ascii="Times New Roman" w:cs="Times New Roman" w:eastAsia="Times New Roman" w:hAnsi="Times New Roman"/>
                <w:sz w:val="24"/>
                <w:szCs w:val="24"/>
                <w:color w:val="auto"/>
                <w:vertAlign w:val="superscript"/>
              </w:rPr>
              <w:t>(62)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39,086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39,086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GHP Eleusis SPV LP</w:t>
            </w:r>
            <w:r>
              <w:rPr>
                <w:rFonts w:ascii="Times New Roman" w:cs="Times New Roman" w:eastAsia="Times New Roman" w:hAnsi="Times New Roman"/>
                <w:sz w:val="24"/>
                <w:szCs w:val="24"/>
                <w:color w:val="auto"/>
                <w:vertAlign w:val="superscript"/>
              </w:rPr>
              <w:t>(63)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102,472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102,472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Gilles Maurice Dellaert</w:t>
            </w:r>
            <w:r>
              <w:rPr>
                <w:rFonts w:ascii="Times New Roman" w:cs="Times New Roman" w:eastAsia="Times New Roman" w:hAnsi="Times New Roman"/>
                <w:sz w:val="24"/>
                <w:szCs w:val="24"/>
                <w:color w:val="auto"/>
                <w:vertAlign w:val="superscript"/>
              </w:rPr>
              <w:t>(64)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49,774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49,774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Glyn Hirsch</w:t>
            </w:r>
            <w:r>
              <w:rPr>
                <w:rFonts w:ascii="Times New Roman" w:cs="Times New Roman" w:eastAsia="Times New Roman" w:hAnsi="Times New Roman"/>
                <w:sz w:val="24"/>
                <w:szCs w:val="24"/>
                <w:color w:val="auto"/>
                <w:vertAlign w:val="superscript"/>
              </w:rPr>
              <w:t>(65)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48,957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48,957</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Grey House Partners Eleusis Holdings SPV</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27"/>
                <w:szCs w:val="27"/>
                <w:color w:val="auto"/>
                <w:vertAlign w:val="subscript"/>
              </w:rPr>
              <w:t>LP</w:t>
            </w:r>
            <w:r>
              <w:rPr>
                <w:rFonts w:ascii="Times New Roman" w:cs="Times New Roman" w:eastAsia="Times New Roman" w:hAnsi="Times New Roman"/>
                <w:sz w:val="12"/>
                <w:szCs w:val="12"/>
                <w:color w:val="auto"/>
              </w:rPr>
              <w:t>(66)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947,429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947,429</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Harris Fricker</w:t>
            </w:r>
            <w:r>
              <w:rPr>
                <w:rFonts w:ascii="Times New Roman" w:cs="Times New Roman" w:eastAsia="Times New Roman" w:hAnsi="Times New Roman"/>
                <w:sz w:val="24"/>
                <w:szCs w:val="24"/>
                <w:color w:val="auto"/>
                <w:vertAlign w:val="superscript"/>
              </w:rPr>
              <w:t>(67)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32,901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32,901</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Harvest Moon Holdings LLC</w:t>
            </w:r>
            <w:r>
              <w:rPr>
                <w:rFonts w:ascii="Times New Roman" w:cs="Times New Roman" w:eastAsia="Times New Roman" w:hAnsi="Times New Roman"/>
                <w:sz w:val="24"/>
                <w:szCs w:val="24"/>
                <w:color w:val="auto"/>
                <w:vertAlign w:val="superscript"/>
              </w:rPr>
              <w:t>(68)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329,012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329,012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Hond Corp.</w:t>
            </w:r>
            <w:r>
              <w:rPr>
                <w:rFonts w:ascii="Times New Roman" w:cs="Times New Roman" w:eastAsia="Times New Roman" w:hAnsi="Times New Roman"/>
                <w:sz w:val="24"/>
                <w:szCs w:val="24"/>
                <w:color w:val="auto"/>
                <w:vertAlign w:val="superscript"/>
              </w:rPr>
              <w:t>(69)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9,800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9,800</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Hooshang Shahriari-Zavereh</w:t>
            </w:r>
            <w:r>
              <w:rPr>
                <w:rFonts w:ascii="Times New Roman" w:cs="Times New Roman" w:eastAsia="Times New Roman" w:hAnsi="Times New Roman"/>
                <w:sz w:val="24"/>
                <w:szCs w:val="24"/>
                <w:color w:val="auto"/>
                <w:vertAlign w:val="superscript"/>
              </w:rPr>
              <w:t>(70)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3,632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3,632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Hrenya Senatore LLP</w:t>
            </w:r>
            <w:r>
              <w:rPr>
                <w:rFonts w:ascii="Times New Roman" w:cs="Times New Roman" w:eastAsia="Times New Roman" w:hAnsi="Times New Roman"/>
                <w:sz w:val="24"/>
                <w:szCs w:val="24"/>
                <w:color w:val="auto"/>
                <w:vertAlign w:val="superscript"/>
              </w:rPr>
              <w:t>(71)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5,916</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2,905</w:t>
            </w: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5"/>
                <w:szCs w:val="15"/>
                <w:color w:val="auto"/>
              </w:rPr>
              <w:t>3,011</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Iain Newman</w:t>
            </w:r>
            <w:r>
              <w:rPr>
                <w:rFonts w:ascii="Times New Roman" w:cs="Times New Roman" w:eastAsia="Times New Roman" w:hAnsi="Times New Roman"/>
                <w:sz w:val="24"/>
                <w:szCs w:val="24"/>
                <w:color w:val="auto"/>
                <w:vertAlign w:val="superscript"/>
              </w:rPr>
              <w:t>(72)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27,893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27,893</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Ilgi Kim</w:t>
            </w:r>
            <w:r>
              <w:rPr>
                <w:rFonts w:ascii="Times New Roman" w:cs="Times New Roman" w:eastAsia="Times New Roman" w:hAnsi="Times New Roman"/>
                <w:sz w:val="24"/>
                <w:szCs w:val="24"/>
                <w:color w:val="auto"/>
                <w:vertAlign w:val="superscript"/>
              </w:rPr>
              <w:t>(73)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130,289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130,289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ImpactAssets Inc. (fbo CIF Catalytic</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15"/>
                <w:szCs w:val="15"/>
                <w:color w:val="auto"/>
              </w:rPr>
              <w:t>Impact Solutions Fund)</w:t>
            </w:r>
            <w:r>
              <w:rPr>
                <w:rFonts w:ascii="Times New Roman" w:cs="Times New Roman" w:eastAsia="Times New Roman" w:hAnsi="Times New Roman"/>
                <w:sz w:val="24"/>
                <w:szCs w:val="24"/>
                <w:color w:val="auto"/>
                <w:vertAlign w:val="superscript"/>
              </w:rPr>
              <w:t>(74)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49,352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49,352</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Integrated Investment Manager SPV I</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tcPr>
          <w:p>
            <w:pPr>
              <w:ind w:left="140"/>
              <w:spacing w:after="0" w:line="236" w:lineRule="exact"/>
              <w:rPr>
                <w:sz w:val="20"/>
                <w:szCs w:val="20"/>
                <w:color w:val="auto"/>
              </w:rPr>
            </w:pPr>
            <w:r>
              <w:rPr>
                <w:rFonts w:ascii="Times New Roman" w:cs="Times New Roman" w:eastAsia="Times New Roman" w:hAnsi="Times New Roman"/>
                <w:sz w:val="27"/>
                <w:szCs w:val="27"/>
                <w:color w:val="auto"/>
                <w:vertAlign w:val="subscript"/>
              </w:rPr>
              <w:t>LLC</w:t>
            </w:r>
            <w:r>
              <w:rPr>
                <w:rFonts w:ascii="Times New Roman" w:cs="Times New Roman" w:eastAsia="Times New Roman" w:hAnsi="Times New Roman"/>
                <w:sz w:val="12"/>
                <w:szCs w:val="12"/>
                <w:color w:val="auto"/>
              </w:rPr>
              <w:t>(75)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65,802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65,802</w:t>
            </w:r>
          </w:p>
        </w:tc>
        <w:tc>
          <w:tcPr>
            <w:tcW w:w="60" w:type="dxa"/>
            <w:vAlign w:val="bottom"/>
          </w:tcPr>
          <w:p>
            <w:pPr>
              <w:spacing w:after="0"/>
              <w:rPr>
                <w:sz w:val="20"/>
                <w:szCs w:val="20"/>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Integrated Investment Partners Fund I</w:t>
            </w:r>
            <w:r>
              <w:rPr>
                <w:rFonts w:ascii="Times New Roman" w:cs="Times New Roman" w:eastAsia="Times New Roman" w:hAnsi="Times New Roman"/>
                <w:sz w:val="24"/>
                <w:szCs w:val="24"/>
                <w:color w:val="auto"/>
                <w:vertAlign w:val="superscript"/>
              </w:rPr>
              <w:t>(76)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2,850,966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2,850,966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Integrated Investment Partners Limited</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tcPr>
          <w:p>
            <w:pPr>
              <w:ind w:left="140"/>
              <w:spacing w:after="0" w:line="236" w:lineRule="exact"/>
              <w:rPr>
                <w:sz w:val="20"/>
                <w:szCs w:val="20"/>
                <w:color w:val="auto"/>
              </w:rPr>
            </w:pPr>
            <w:r>
              <w:rPr>
                <w:rFonts w:ascii="Times New Roman" w:cs="Times New Roman" w:eastAsia="Times New Roman" w:hAnsi="Times New Roman"/>
                <w:sz w:val="15"/>
                <w:szCs w:val="15"/>
                <w:color w:val="auto"/>
              </w:rPr>
              <w:t>Partnership</w:t>
            </w:r>
            <w:r>
              <w:rPr>
                <w:rFonts w:ascii="Times New Roman" w:cs="Times New Roman" w:eastAsia="Times New Roman" w:hAnsi="Times New Roman"/>
                <w:sz w:val="24"/>
                <w:szCs w:val="24"/>
                <w:color w:val="auto"/>
                <w:vertAlign w:val="superscript"/>
              </w:rPr>
              <w:t>(77)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2,983,112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2,983,112</w:t>
            </w:r>
          </w:p>
        </w:tc>
        <w:tc>
          <w:tcPr>
            <w:tcW w:w="60" w:type="dxa"/>
            <w:vAlign w:val="bottom"/>
          </w:tcPr>
          <w:p>
            <w:pPr>
              <w:spacing w:after="0"/>
              <w:rPr>
                <w:sz w:val="20"/>
                <w:szCs w:val="20"/>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Integrated Investment Partners SPV I</w:t>
            </w:r>
            <w:r>
              <w:rPr>
                <w:rFonts w:ascii="Times New Roman" w:cs="Times New Roman" w:eastAsia="Times New Roman" w:hAnsi="Times New Roman"/>
                <w:sz w:val="24"/>
                <w:szCs w:val="24"/>
                <w:color w:val="auto"/>
                <w:vertAlign w:val="superscript"/>
              </w:rPr>
              <w:t>(78)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8,389,828</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2.31%</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8,389,828</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Iter Investments I LP</w:t>
            </w:r>
            <w:r>
              <w:rPr>
                <w:rFonts w:ascii="Times New Roman" w:cs="Times New Roman" w:eastAsia="Times New Roman" w:hAnsi="Times New Roman"/>
                <w:sz w:val="24"/>
                <w:szCs w:val="24"/>
                <w:color w:val="auto"/>
                <w:vertAlign w:val="superscript"/>
              </w:rPr>
              <w:t>(79)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329,012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329,012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J Cannon Clifton</w:t>
            </w:r>
            <w:r>
              <w:rPr>
                <w:rFonts w:ascii="Times New Roman" w:cs="Times New Roman" w:eastAsia="Times New Roman" w:hAnsi="Times New Roman"/>
                <w:sz w:val="24"/>
                <w:szCs w:val="24"/>
                <w:color w:val="auto"/>
                <w:vertAlign w:val="superscript"/>
              </w:rPr>
              <w:t>(80)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219,968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219,968</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Jaclyn Ann Lundin</w:t>
            </w:r>
            <w:r>
              <w:rPr>
                <w:rFonts w:ascii="Times New Roman" w:cs="Times New Roman" w:eastAsia="Times New Roman" w:hAnsi="Times New Roman"/>
                <w:sz w:val="24"/>
                <w:szCs w:val="24"/>
                <w:color w:val="auto"/>
                <w:vertAlign w:val="superscript"/>
              </w:rPr>
              <w:t>(81)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2,174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2,174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Jacques Elalouf</w:t>
            </w:r>
            <w:r>
              <w:rPr>
                <w:rFonts w:ascii="Times New Roman" w:cs="Times New Roman" w:eastAsia="Times New Roman" w:hAnsi="Times New Roman"/>
                <w:sz w:val="24"/>
                <w:szCs w:val="24"/>
                <w:color w:val="auto"/>
                <w:vertAlign w:val="superscript"/>
              </w:rPr>
              <w:t>(82)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32,901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32,901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James Bradley Hyler</w:t>
            </w:r>
            <w:r>
              <w:rPr>
                <w:rFonts w:ascii="Times New Roman" w:cs="Times New Roman" w:eastAsia="Times New Roman" w:hAnsi="Times New Roman"/>
                <w:sz w:val="24"/>
                <w:szCs w:val="24"/>
                <w:color w:val="auto"/>
                <w:vertAlign w:val="superscript"/>
              </w:rPr>
              <w:t>(83)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49,352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49,352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James Benjamin Higgins</w:t>
            </w:r>
            <w:r>
              <w:rPr>
                <w:rFonts w:ascii="Times New Roman" w:cs="Times New Roman" w:eastAsia="Times New Roman" w:hAnsi="Times New Roman"/>
                <w:sz w:val="24"/>
                <w:szCs w:val="24"/>
                <w:color w:val="auto"/>
                <w:vertAlign w:val="superscript"/>
              </w:rPr>
              <w:t>(84)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15,289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15,289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12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James Westwood</w:t>
            </w:r>
            <w:r>
              <w:rPr>
                <w:rFonts w:ascii="Times New Roman" w:cs="Times New Roman" w:eastAsia="Times New Roman" w:hAnsi="Times New Roman"/>
                <w:sz w:val="24"/>
                <w:szCs w:val="24"/>
                <w:color w:val="auto"/>
                <w:vertAlign w:val="superscript"/>
              </w:rPr>
              <w:t>(85)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85,990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85,990</w:t>
            </w:r>
          </w:p>
        </w:tc>
        <w:tc>
          <w:tcPr>
            <w:tcW w:w="60" w:type="dxa"/>
            <w:vAlign w:val="bottom"/>
          </w:tcPr>
          <w:p>
            <w:pPr>
              <w:spacing w:after="0"/>
              <w:rPr>
                <w:sz w:val="24"/>
                <w:szCs w:val="24"/>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S-12</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880" w:top="251" w:right="8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1200" w:type="dxa"/>
            <w:vAlign w:val="bottom"/>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 Ownership Prior</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 Number of</w:t>
            </w:r>
          </w:p>
        </w:tc>
        <w:tc>
          <w:tcPr>
            <w:tcW w:w="60" w:type="dxa"/>
            <w:vAlign w:val="bottom"/>
          </w:tcPr>
          <w:p>
            <w:pPr>
              <w:spacing w:after="0"/>
              <w:rPr>
                <w:sz w:val="24"/>
                <w:szCs w:val="24"/>
                <w:color w:val="auto"/>
              </w:rPr>
            </w:pPr>
          </w:p>
        </w:tc>
        <w:tc>
          <w:tcPr>
            <w:tcW w:w="17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Beneficial Ownership After</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Common Shares Subject to</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of All Common Shares</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586"/>
              <w:spacing w:after="0" w:line="137"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Pursuant to this</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Subject to Resale Pursuant to</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2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Securityholders</w:t>
            </w: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200" w:type="dxa"/>
            <w:vAlign w:val="bottom"/>
          </w:tcPr>
          <w:p>
            <w:pPr>
              <w:spacing w:after="0"/>
              <w:rPr>
                <w:sz w:val="19"/>
                <w:szCs w:val="19"/>
                <w:color w:val="auto"/>
              </w:rPr>
            </w:pPr>
          </w:p>
        </w:tc>
        <w:tc>
          <w:tcPr>
            <w:tcW w:w="260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Jean-Marc Ralph Ciancimino</w:t>
            </w:r>
            <w:r>
              <w:rPr>
                <w:rFonts w:ascii="Times New Roman" w:cs="Times New Roman" w:eastAsia="Times New Roman" w:hAnsi="Times New Roman"/>
                <w:sz w:val="24"/>
                <w:szCs w:val="24"/>
                <w:color w:val="auto"/>
                <w:vertAlign w:val="superscript"/>
              </w:rPr>
              <w:t>(86)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54,721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54,721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Jeremy Benkiewicz</w:t>
            </w:r>
            <w:r>
              <w:rPr>
                <w:rFonts w:ascii="Times New Roman" w:cs="Times New Roman" w:eastAsia="Times New Roman" w:hAnsi="Times New Roman"/>
                <w:sz w:val="24"/>
                <w:szCs w:val="24"/>
                <w:color w:val="auto"/>
                <w:vertAlign w:val="superscript"/>
              </w:rPr>
              <w:t>(87)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30,573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30,573</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John Bryan Clifton</w:t>
            </w:r>
            <w:r>
              <w:rPr>
                <w:rFonts w:ascii="Times New Roman" w:cs="Times New Roman" w:eastAsia="Times New Roman" w:hAnsi="Times New Roman"/>
                <w:sz w:val="24"/>
                <w:szCs w:val="24"/>
                <w:color w:val="auto"/>
                <w:vertAlign w:val="superscript"/>
              </w:rPr>
              <w:t>(88)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269,898</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265,505</w:t>
            </w:r>
          </w:p>
        </w:tc>
        <w:tc>
          <w:tcPr>
            <w:tcW w:w="10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4,393</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John Karabelas</w:t>
            </w:r>
            <w:r>
              <w:rPr>
                <w:rFonts w:ascii="Times New Roman" w:cs="Times New Roman" w:eastAsia="Times New Roman" w:hAnsi="Times New Roman"/>
                <w:sz w:val="24"/>
                <w:szCs w:val="24"/>
                <w:color w:val="auto"/>
                <w:vertAlign w:val="superscript"/>
              </w:rPr>
              <w:t>(89)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15,289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15,289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John Richard Key</w:t>
            </w:r>
            <w:r>
              <w:rPr>
                <w:rFonts w:ascii="Times New Roman" w:cs="Times New Roman" w:eastAsia="Times New Roman" w:hAnsi="Times New Roman"/>
                <w:sz w:val="24"/>
                <w:szCs w:val="24"/>
                <w:color w:val="auto"/>
                <w:vertAlign w:val="superscript"/>
              </w:rPr>
              <w:t>(90)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49,509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49,509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Jonathan Hives</w:t>
            </w:r>
            <w:r>
              <w:rPr>
                <w:rFonts w:ascii="Times New Roman" w:cs="Times New Roman" w:eastAsia="Times New Roman" w:hAnsi="Times New Roman"/>
                <w:sz w:val="24"/>
                <w:szCs w:val="24"/>
                <w:color w:val="auto"/>
                <w:vertAlign w:val="superscript"/>
              </w:rPr>
              <w:t>(91)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22,110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22,110</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Jonathan Wright</w:t>
            </w:r>
            <w:r>
              <w:rPr>
                <w:rFonts w:ascii="Times New Roman" w:cs="Times New Roman" w:eastAsia="Times New Roman" w:hAnsi="Times New Roman"/>
                <w:sz w:val="24"/>
                <w:szCs w:val="24"/>
                <w:color w:val="auto"/>
                <w:vertAlign w:val="superscript"/>
              </w:rPr>
              <w:t>(92)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253,339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253,339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Justin Sean LLC</w:t>
            </w:r>
            <w:r>
              <w:rPr>
                <w:rFonts w:ascii="Times New Roman" w:cs="Times New Roman" w:eastAsia="Times New Roman" w:hAnsi="Times New Roman"/>
                <w:sz w:val="24"/>
                <w:szCs w:val="24"/>
                <w:color w:val="auto"/>
                <w:vertAlign w:val="superscript"/>
              </w:rPr>
              <w:t>(93)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352,124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352,124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Katherine Roberts</w:t>
            </w:r>
            <w:r>
              <w:rPr>
                <w:rFonts w:ascii="Times New Roman" w:cs="Times New Roman" w:eastAsia="Times New Roman" w:hAnsi="Times New Roman"/>
                <w:sz w:val="24"/>
                <w:szCs w:val="24"/>
                <w:color w:val="auto"/>
                <w:vertAlign w:val="superscript"/>
              </w:rPr>
              <w:t>(94)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15,724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15,724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Kenneth McKay</w:t>
            </w:r>
            <w:r>
              <w:rPr>
                <w:rFonts w:ascii="Times New Roman" w:cs="Times New Roman" w:eastAsia="Times New Roman" w:hAnsi="Times New Roman"/>
                <w:sz w:val="24"/>
                <w:szCs w:val="24"/>
                <w:color w:val="auto"/>
                <w:vertAlign w:val="superscript"/>
              </w:rPr>
              <w:t>(95)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73,483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73,483</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KJSM Ventures Canada Inc</w:t>
            </w:r>
            <w:r>
              <w:rPr>
                <w:rFonts w:ascii="Times New Roman" w:cs="Times New Roman" w:eastAsia="Times New Roman" w:hAnsi="Times New Roman"/>
                <w:sz w:val="24"/>
                <w:szCs w:val="24"/>
                <w:color w:val="auto"/>
                <w:vertAlign w:val="superscript"/>
              </w:rPr>
              <w:t>(96)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262,664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262,664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KVS Clinical Consulting Limited (Kalpana</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tcPr>
          <w:p>
            <w:pPr>
              <w:ind w:left="140"/>
              <w:spacing w:after="0" w:line="236" w:lineRule="exact"/>
              <w:rPr>
                <w:sz w:val="20"/>
                <w:szCs w:val="20"/>
                <w:color w:val="auto"/>
              </w:rPr>
            </w:pPr>
            <w:r>
              <w:rPr>
                <w:rFonts w:ascii="Times New Roman" w:cs="Times New Roman" w:eastAsia="Times New Roman" w:hAnsi="Times New Roman"/>
                <w:sz w:val="15"/>
                <w:szCs w:val="15"/>
                <w:color w:val="auto"/>
              </w:rPr>
              <w:t>Sawant)</w:t>
            </w:r>
            <w:r>
              <w:rPr>
                <w:rFonts w:ascii="Times New Roman" w:cs="Times New Roman" w:eastAsia="Times New Roman" w:hAnsi="Times New Roman"/>
                <w:sz w:val="24"/>
                <w:szCs w:val="24"/>
                <w:color w:val="auto"/>
                <w:vertAlign w:val="superscript"/>
              </w:rPr>
              <w:t>(97)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325,722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325,722</w:t>
            </w:r>
          </w:p>
        </w:tc>
        <w:tc>
          <w:tcPr>
            <w:tcW w:w="60" w:type="dxa"/>
            <w:vAlign w:val="bottom"/>
          </w:tcPr>
          <w:p>
            <w:pPr>
              <w:spacing w:after="0"/>
              <w:rPr>
                <w:sz w:val="20"/>
                <w:szCs w:val="20"/>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Lanchester LLC</w:t>
            </w:r>
            <w:r>
              <w:rPr>
                <w:rFonts w:ascii="Times New Roman" w:cs="Times New Roman" w:eastAsia="Times New Roman" w:hAnsi="Times New Roman"/>
                <w:sz w:val="24"/>
                <w:szCs w:val="24"/>
                <w:color w:val="auto"/>
                <w:vertAlign w:val="superscript"/>
              </w:rPr>
              <w:t>(98)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82,252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82,252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Lara Tabatznik</w:t>
            </w:r>
            <w:r>
              <w:rPr>
                <w:rFonts w:ascii="Times New Roman" w:cs="Times New Roman" w:eastAsia="Times New Roman" w:hAnsi="Times New Roman"/>
                <w:sz w:val="24"/>
                <w:szCs w:val="24"/>
                <w:color w:val="auto"/>
                <w:vertAlign w:val="superscript"/>
              </w:rPr>
              <w:t>(99)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65,144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65,144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Lars Mouritzen</w:t>
            </w:r>
            <w:r>
              <w:rPr>
                <w:rFonts w:ascii="Times New Roman" w:cs="Times New Roman" w:eastAsia="Times New Roman" w:hAnsi="Times New Roman"/>
                <w:sz w:val="24"/>
                <w:szCs w:val="24"/>
                <w:color w:val="auto"/>
                <w:vertAlign w:val="superscript"/>
              </w:rPr>
              <w:t>(100)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37,641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37,641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Leafy Tunnel Fund 1 L.P.</w:t>
            </w:r>
            <w:r>
              <w:rPr>
                <w:rFonts w:ascii="Times New Roman" w:cs="Times New Roman" w:eastAsia="Times New Roman" w:hAnsi="Times New Roman"/>
                <w:sz w:val="24"/>
                <w:szCs w:val="24"/>
                <w:color w:val="auto"/>
                <w:vertAlign w:val="superscript"/>
              </w:rPr>
              <w:t>(101)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1,178,718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757,678</w:t>
            </w: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color w:val="auto"/>
              </w:rPr>
              <w:t>421,040</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Leslie Jane Ford</w:t>
            </w:r>
            <w:r>
              <w:rPr>
                <w:rFonts w:ascii="Times New Roman" w:cs="Times New Roman" w:eastAsia="Times New Roman" w:hAnsi="Times New Roman"/>
                <w:sz w:val="24"/>
                <w:szCs w:val="24"/>
                <w:color w:val="auto"/>
                <w:vertAlign w:val="superscript"/>
              </w:rPr>
              <w:t>(102)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5,535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5,535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Lohengrin Enterprises SA.</w:t>
            </w:r>
            <w:r>
              <w:rPr>
                <w:rFonts w:ascii="Times New Roman" w:cs="Times New Roman" w:eastAsia="Times New Roman" w:hAnsi="Times New Roman"/>
                <w:sz w:val="24"/>
                <w:szCs w:val="24"/>
                <w:color w:val="auto"/>
                <w:vertAlign w:val="superscript"/>
              </w:rPr>
              <w:t>(103)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82,252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82,252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MAJA Nominees Pty Limited ATF Perry</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15"/>
                <w:szCs w:val="15"/>
                <w:color w:val="auto"/>
              </w:rPr>
              <w:t>Family Trust</w:t>
            </w:r>
            <w:r>
              <w:rPr>
                <w:rFonts w:ascii="Times New Roman" w:cs="Times New Roman" w:eastAsia="Times New Roman" w:hAnsi="Times New Roman"/>
                <w:sz w:val="24"/>
                <w:szCs w:val="24"/>
                <w:color w:val="auto"/>
                <w:vertAlign w:val="superscript"/>
              </w:rPr>
              <w:t>(104)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23,452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23,452</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Marallo Pte Ltd</w:t>
            </w:r>
            <w:r>
              <w:rPr>
                <w:rFonts w:ascii="Times New Roman" w:cs="Times New Roman" w:eastAsia="Times New Roman" w:hAnsi="Times New Roman"/>
                <w:sz w:val="24"/>
                <w:szCs w:val="24"/>
                <w:color w:val="auto"/>
                <w:vertAlign w:val="superscript"/>
              </w:rPr>
              <w:t>(105)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41,640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41,640</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Marine Mallinson</w:t>
            </w:r>
            <w:r>
              <w:rPr>
                <w:rFonts w:ascii="Times New Roman" w:cs="Times New Roman" w:eastAsia="Times New Roman" w:hAnsi="Times New Roman"/>
                <w:sz w:val="24"/>
                <w:szCs w:val="24"/>
                <w:color w:val="auto"/>
                <w:vertAlign w:val="superscript"/>
              </w:rPr>
              <w:t>(106)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7,750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7,750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Mark A. Zittman Revocable Trust</w:t>
            </w:r>
            <w:r>
              <w:rPr>
                <w:rFonts w:ascii="Times New Roman" w:cs="Times New Roman" w:eastAsia="Times New Roman" w:hAnsi="Times New Roman"/>
                <w:sz w:val="24"/>
                <w:szCs w:val="24"/>
                <w:color w:val="auto"/>
                <w:vertAlign w:val="superscript"/>
              </w:rPr>
              <w:t>(107)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51,131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51,131</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Mark Ginsburg</w:t>
            </w:r>
            <w:r>
              <w:rPr>
                <w:rFonts w:ascii="Times New Roman" w:cs="Times New Roman" w:eastAsia="Times New Roman" w:hAnsi="Times New Roman"/>
                <w:sz w:val="24"/>
                <w:szCs w:val="24"/>
                <w:color w:val="auto"/>
                <w:vertAlign w:val="superscript"/>
              </w:rPr>
              <w:t>(108)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7,861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7,861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Mark Holyoake</w:t>
            </w:r>
            <w:r>
              <w:rPr>
                <w:rFonts w:ascii="Times New Roman" w:cs="Times New Roman" w:eastAsia="Times New Roman" w:hAnsi="Times New Roman"/>
                <w:sz w:val="24"/>
                <w:szCs w:val="24"/>
                <w:color w:val="auto"/>
                <w:vertAlign w:val="superscript"/>
              </w:rPr>
              <w:t>(109)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140,712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140,712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Mark Moran</w:t>
            </w:r>
            <w:r>
              <w:rPr>
                <w:rFonts w:ascii="Times New Roman" w:cs="Times New Roman" w:eastAsia="Times New Roman" w:hAnsi="Times New Roman"/>
                <w:sz w:val="24"/>
                <w:szCs w:val="24"/>
                <w:color w:val="auto"/>
                <w:vertAlign w:val="superscript"/>
              </w:rPr>
              <w:t>(110)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105,302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105,302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Mark Moran, Trustee of the EEMO 2021</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tcPr>
          <w:p>
            <w:pPr>
              <w:ind w:left="140"/>
              <w:spacing w:after="0" w:line="236" w:lineRule="exact"/>
              <w:rPr>
                <w:sz w:val="20"/>
                <w:szCs w:val="20"/>
                <w:color w:val="auto"/>
              </w:rPr>
            </w:pPr>
            <w:r>
              <w:rPr>
                <w:rFonts w:ascii="Times New Roman" w:cs="Times New Roman" w:eastAsia="Times New Roman" w:hAnsi="Times New Roman"/>
                <w:sz w:val="27"/>
                <w:szCs w:val="27"/>
                <w:color w:val="auto"/>
                <w:vertAlign w:val="subscript"/>
              </w:rPr>
              <w:t>GRAT</w:t>
            </w:r>
            <w:r>
              <w:rPr>
                <w:rFonts w:ascii="Times New Roman" w:cs="Times New Roman" w:eastAsia="Times New Roman" w:hAnsi="Times New Roman"/>
                <w:sz w:val="12"/>
                <w:szCs w:val="12"/>
                <w:color w:val="auto"/>
              </w:rPr>
              <w:t>(111)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58,187</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58,187</w:t>
            </w:r>
          </w:p>
        </w:tc>
        <w:tc>
          <w:tcPr>
            <w:tcW w:w="60" w:type="dxa"/>
            <w:vAlign w:val="bottom"/>
          </w:tcPr>
          <w:p>
            <w:pPr>
              <w:spacing w:after="0"/>
              <w:rPr>
                <w:sz w:val="20"/>
                <w:szCs w:val="20"/>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Mark Adrian Ware</w:t>
            </w:r>
            <w:r>
              <w:rPr>
                <w:rFonts w:ascii="Times New Roman" w:cs="Times New Roman" w:eastAsia="Times New Roman" w:hAnsi="Times New Roman"/>
                <w:sz w:val="24"/>
                <w:szCs w:val="24"/>
                <w:color w:val="auto"/>
                <w:vertAlign w:val="superscript"/>
              </w:rPr>
              <w:t>(112)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1,824,047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1,824,047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Mark Webster</w:t>
            </w:r>
            <w:r>
              <w:rPr>
                <w:rFonts w:ascii="Times New Roman" w:cs="Times New Roman" w:eastAsia="Times New Roman" w:hAnsi="Times New Roman"/>
                <w:sz w:val="24"/>
                <w:szCs w:val="24"/>
                <w:color w:val="auto"/>
                <w:vertAlign w:val="superscript"/>
              </w:rPr>
              <w:t>(113)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92,979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92,979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Martin Sweeney</w:t>
            </w:r>
            <w:r>
              <w:rPr>
                <w:rFonts w:ascii="Times New Roman" w:cs="Times New Roman" w:eastAsia="Times New Roman" w:hAnsi="Times New Roman"/>
                <w:sz w:val="24"/>
                <w:szCs w:val="24"/>
                <w:color w:val="auto"/>
                <w:vertAlign w:val="superscript"/>
              </w:rPr>
              <w:t>(114)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23,244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23,244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Mary Brickman</w:t>
            </w:r>
            <w:r>
              <w:rPr>
                <w:rFonts w:ascii="Times New Roman" w:cs="Times New Roman" w:eastAsia="Times New Roman" w:hAnsi="Times New Roman"/>
                <w:sz w:val="24"/>
                <w:szCs w:val="24"/>
                <w:color w:val="auto"/>
                <w:vertAlign w:val="superscript"/>
              </w:rPr>
              <w:t>(115)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3,631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3,631</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Matthew Wayne Johnson</w:t>
            </w:r>
            <w:r>
              <w:rPr>
                <w:rFonts w:ascii="Times New Roman" w:cs="Times New Roman" w:eastAsia="Times New Roman" w:hAnsi="Times New Roman"/>
                <w:sz w:val="24"/>
                <w:szCs w:val="24"/>
                <w:color w:val="auto"/>
                <w:vertAlign w:val="superscript"/>
              </w:rPr>
              <w:t>(116)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130,289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130,289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Mediq Ventures Limited</w:t>
            </w:r>
            <w:r>
              <w:rPr>
                <w:rFonts w:ascii="Times New Roman" w:cs="Times New Roman" w:eastAsia="Times New Roman" w:hAnsi="Times New Roman"/>
                <w:sz w:val="24"/>
                <w:szCs w:val="24"/>
                <w:color w:val="auto"/>
                <w:vertAlign w:val="superscript"/>
              </w:rPr>
              <w:t>(117)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3,518,444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3,518,444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Megan Collins</w:t>
            </w:r>
            <w:r>
              <w:rPr>
                <w:rFonts w:ascii="Times New Roman" w:cs="Times New Roman" w:eastAsia="Times New Roman" w:hAnsi="Times New Roman"/>
                <w:sz w:val="24"/>
                <w:szCs w:val="24"/>
                <w:color w:val="auto"/>
                <w:vertAlign w:val="superscript"/>
              </w:rPr>
              <w:t>(118)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23,244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23,244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Mel Dean Walker</w:t>
            </w:r>
            <w:r>
              <w:rPr>
                <w:rFonts w:ascii="Times New Roman" w:cs="Times New Roman" w:eastAsia="Times New Roman" w:hAnsi="Times New Roman"/>
                <w:sz w:val="24"/>
                <w:szCs w:val="24"/>
                <w:color w:val="auto"/>
                <w:vertAlign w:val="superscript"/>
              </w:rPr>
              <w:t>(119)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7,263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7,263</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Melissa Moran, Trustee of The 21 Spousal</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27"/>
                <w:szCs w:val="27"/>
                <w:color w:val="auto"/>
                <w:vertAlign w:val="subscript"/>
              </w:rPr>
              <w:t>GRAT</w:t>
            </w:r>
            <w:r>
              <w:rPr>
                <w:rFonts w:ascii="Times New Roman" w:cs="Times New Roman" w:eastAsia="Times New Roman" w:hAnsi="Times New Roman"/>
                <w:sz w:val="12"/>
                <w:szCs w:val="12"/>
                <w:color w:val="auto"/>
              </w:rPr>
              <w:t>(120)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58,187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58,187</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Michael Barry Emanuel</w:t>
            </w:r>
            <w:r>
              <w:rPr>
                <w:rFonts w:ascii="Times New Roman" w:cs="Times New Roman" w:eastAsia="Times New Roman" w:hAnsi="Times New Roman"/>
                <w:sz w:val="24"/>
                <w:szCs w:val="24"/>
                <w:color w:val="auto"/>
                <w:vertAlign w:val="superscript"/>
              </w:rPr>
              <w:t>(121)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19,543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19,543</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Michael Blitzer</w:t>
            </w:r>
            <w:r>
              <w:rPr>
                <w:rFonts w:ascii="Times New Roman" w:cs="Times New Roman" w:eastAsia="Times New Roman" w:hAnsi="Times New Roman"/>
                <w:sz w:val="24"/>
                <w:szCs w:val="24"/>
                <w:color w:val="auto"/>
                <w:vertAlign w:val="superscript"/>
              </w:rPr>
              <w:t>(122)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30,573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30,573</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Michael Freund</w:t>
            </w:r>
            <w:r>
              <w:rPr>
                <w:rFonts w:ascii="Times New Roman" w:cs="Times New Roman" w:eastAsia="Times New Roman" w:hAnsi="Times New Roman"/>
                <w:sz w:val="24"/>
                <w:szCs w:val="24"/>
                <w:color w:val="auto"/>
                <w:vertAlign w:val="superscript"/>
              </w:rPr>
              <w:t>(123)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109,442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109,442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Michael John Norris</w:t>
            </w:r>
            <w:r>
              <w:rPr>
                <w:rFonts w:ascii="Times New Roman" w:cs="Times New Roman" w:eastAsia="Times New Roman" w:hAnsi="Times New Roman"/>
                <w:sz w:val="24"/>
                <w:szCs w:val="24"/>
                <w:color w:val="auto"/>
                <w:vertAlign w:val="superscript"/>
              </w:rPr>
              <w:t>(124)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1,801,279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1,302,891</w:t>
            </w:r>
          </w:p>
        </w:tc>
        <w:tc>
          <w:tcPr>
            <w:tcW w:w="10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498,388</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Michael Steele</w:t>
            </w:r>
            <w:r>
              <w:rPr>
                <w:rFonts w:ascii="Times New Roman" w:cs="Times New Roman" w:eastAsia="Times New Roman" w:hAnsi="Times New Roman"/>
                <w:sz w:val="24"/>
                <w:szCs w:val="24"/>
                <w:color w:val="auto"/>
                <w:vertAlign w:val="superscript"/>
              </w:rPr>
              <w:t>(125)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181,839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181,839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Mike Moore</w:t>
            </w:r>
            <w:r>
              <w:rPr>
                <w:rFonts w:ascii="Times New Roman" w:cs="Times New Roman" w:eastAsia="Times New Roman" w:hAnsi="Times New Roman"/>
                <w:sz w:val="24"/>
                <w:szCs w:val="24"/>
                <w:color w:val="auto"/>
                <w:vertAlign w:val="superscript"/>
              </w:rPr>
              <w:t>(126)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13,947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13,947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MMRAAB Management Trust</w:t>
            </w:r>
            <w:r>
              <w:rPr>
                <w:rFonts w:ascii="Times New Roman" w:cs="Times New Roman" w:eastAsia="Times New Roman" w:hAnsi="Times New Roman"/>
                <w:sz w:val="24"/>
                <w:szCs w:val="24"/>
                <w:color w:val="auto"/>
                <w:vertAlign w:val="superscript"/>
              </w:rPr>
              <w:t>(127)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211,214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211,214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MNGJZ LLC</w:t>
            </w:r>
            <w:r>
              <w:rPr>
                <w:rFonts w:ascii="Times New Roman" w:cs="Times New Roman" w:eastAsia="Times New Roman" w:hAnsi="Times New Roman"/>
                <w:sz w:val="24"/>
                <w:szCs w:val="24"/>
                <w:color w:val="auto"/>
                <w:vertAlign w:val="superscript"/>
              </w:rPr>
              <w:t>(128)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394,947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394,947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MNL Nominees Limited</w:t>
            </w:r>
            <w:r>
              <w:rPr>
                <w:rFonts w:ascii="Times New Roman" w:cs="Times New Roman" w:eastAsia="Times New Roman" w:hAnsi="Times New Roman"/>
                <w:sz w:val="24"/>
                <w:szCs w:val="24"/>
                <w:color w:val="auto"/>
                <w:vertAlign w:val="superscript"/>
              </w:rPr>
              <w:t>(129)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542,439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542,439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Monica Reed</w:t>
            </w:r>
            <w:r>
              <w:rPr>
                <w:rFonts w:ascii="Times New Roman" w:cs="Times New Roman" w:eastAsia="Times New Roman" w:hAnsi="Times New Roman"/>
                <w:sz w:val="24"/>
                <w:szCs w:val="24"/>
                <w:color w:val="auto"/>
                <w:vertAlign w:val="superscript"/>
              </w:rPr>
              <w:t>(130)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5,535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5,535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MSP Beckley LLC</w:t>
            </w:r>
            <w:r>
              <w:rPr>
                <w:rFonts w:ascii="Times New Roman" w:cs="Times New Roman" w:eastAsia="Times New Roman" w:hAnsi="Times New Roman"/>
                <w:sz w:val="24"/>
                <w:szCs w:val="24"/>
                <w:color w:val="auto"/>
                <w:vertAlign w:val="superscript"/>
              </w:rPr>
              <w:t>(131)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559,322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559,322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Negev Capital Fund One L.P.</w:t>
            </w:r>
            <w:r>
              <w:rPr>
                <w:rFonts w:ascii="Times New Roman" w:cs="Times New Roman" w:eastAsia="Times New Roman" w:hAnsi="Times New Roman"/>
                <w:sz w:val="24"/>
                <w:szCs w:val="24"/>
                <w:color w:val="auto"/>
                <w:vertAlign w:val="superscript"/>
              </w:rPr>
              <w:t>(132)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658,026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658,026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NETHERHALL INVESTMENTS PTY</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LTD AS TRUSTEE FOR THE D &amp; A</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1200" w:type="dxa"/>
            <w:vAlign w:val="bottom"/>
          </w:tcPr>
          <w:p>
            <w:pPr>
              <w:spacing w:after="0"/>
              <w:rPr>
                <w:sz w:val="24"/>
                <w:szCs w:val="24"/>
                <w:color w:val="auto"/>
              </w:rPr>
            </w:pPr>
          </w:p>
        </w:tc>
        <w:tc>
          <w:tcPr>
            <w:tcW w:w="268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BARNAO FAMILY TRUST</w:t>
            </w:r>
            <w:r>
              <w:rPr>
                <w:rFonts w:ascii="Times New Roman" w:cs="Times New Roman" w:eastAsia="Times New Roman" w:hAnsi="Times New Roman"/>
                <w:sz w:val="24"/>
                <w:szCs w:val="24"/>
                <w:color w:val="auto"/>
                <w:vertAlign w:val="superscript"/>
              </w:rPr>
              <w:t>(133)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52,115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52,115</w:t>
            </w:r>
          </w:p>
        </w:tc>
        <w:tc>
          <w:tcPr>
            <w:tcW w:w="60" w:type="dxa"/>
            <w:vAlign w:val="bottom"/>
          </w:tcPr>
          <w:p>
            <w:pPr>
              <w:spacing w:after="0"/>
              <w:rPr>
                <w:sz w:val="24"/>
                <w:szCs w:val="24"/>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S-13</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880" w:top="251" w:right="8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1200" w:type="dxa"/>
            <w:vAlign w:val="bottom"/>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Beneficial Ownership Prior</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 Number of</w:t>
            </w:r>
          </w:p>
        </w:tc>
        <w:tc>
          <w:tcPr>
            <w:tcW w:w="60" w:type="dxa"/>
            <w:vAlign w:val="bottom"/>
          </w:tcPr>
          <w:p>
            <w:pPr>
              <w:spacing w:after="0"/>
              <w:rPr>
                <w:sz w:val="24"/>
                <w:szCs w:val="24"/>
                <w:color w:val="auto"/>
              </w:rPr>
            </w:pPr>
          </w:p>
        </w:tc>
        <w:tc>
          <w:tcPr>
            <w:tcW w:w="17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Beneficial Ownership After</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Common Shares Subject to</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of All Common Shares</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6"/>
              <w:spacing w:after="0" w:line="137" w:lineRule="exact"/>
              <w:rPr>
                <w:sz w:val="20"/>
                <w:szCs w:val="20"/>
                <w:color w:val="auto"/>
              </w:rPr>
            </w:pPr>
            <w:r>
              <w:rPr>
                <w:rFonts w:ascii="Times New Roman" w:cs="Times New Roman" w:eastAsia="Times New Roman" w:hAnsi="Times New Roman"/>
                <w:sz w:val="13"/>
                <w:szCs w:val="13"/>
                <w:b w:val="1"/>
                <w:bCs w:val="1"/>
                <w:color w:val="auto"/>
              </w:rPr>
              <w:t>to</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Pursuant to this</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Subject to Resale Pursuant to</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2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Securityholders</w:t>
            </w: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200" w:type="dxa"/>
            <w:vAlign w:val="bottom"/>
          </w:tcPr>
          <w:p>
            <w:pPr>
              <w:spacing w:after="0"/>
              <w:rPr>
                <w:sz w:val="19"/>
                <w:szCs w:val="19"/>
                <w:color w:val="auto"/>
              </w:rPr>
            </w:pPr>
          </w:p>
        </w:tc>
        <w:tc>
          <w:tcPr>
            <w:tcW w:w="260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Newtyn Partners LP</w:t>
            </w:r>
            <w:r>
              <w:rPr>
                <w:rFonts w:ascii="Times New Roman" w:cs="Times New Roman" w:eastAsia="Times New Roman" w:hAnsi="Times New Roman"/>
                <w:sz w:val="24"/>
                <w:szCs w:val="24"/>
                <w:color w:val="auto"/>
                <w:vertAlign w:val="superscript"/>
              </w:rPr>
              <w:t>(134)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1,442,481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1,442,481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Newtyn TE Partners LP</w:t>
            </w:r>
            <w:r>
              <w:rPr>
                <w:rFonts w:ascii="Times New Roman" w:cs="Times New Roman" w:eastAsia="Times New Roman" w:hAnsi="Times New Roman"/>
                <w:sz w:val="24"/>
                <w:szCs w:val="24"/>
                <w:color w:val="auto"/>
                <w:vertAlign w:val="superscript"/>
              </w:rPr>
              <w:t>(135)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933,117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933,117</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Nick Davis</w:t>
            </w:r>
            <w:r>
              <w:rPr>
                <w:rFonts w:ascii="Times New Roman" w:cs="Times New Roman" w:eastAsia="Times New Roman" w:hAnsi="Times New Roman"/>
                <w:sz w:val="24"/>
                <w:szCs w:val="24"/>
                <w:color w:val="auto"/>
                <w:vertAlign w:val="superscript"/>
              </w:rPr>
              <w:t>(136)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23,244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23,244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Neiloufar Family</w:t>
            </w:r>
            <w:r>
              <w:rPr>
                <w:rFonts w:ascii="Times New Roman" w:cs="Times New Roman" w:eastAsia="Times New Roman" w:hAnsi="Times New Roman"/>
                <w:sz w:val="24"/>
                <w:szCs w:val="24"/>
                <w:color w:val="auto"/>
                <w:vertAlign w:val="superscript"/>
              </w:rPr>
              <w:t>(137)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221,794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208,075</w:t>
            </w:r>
          </w:p>
        </w:tc>
        <w:tc>
          <w:tcPr>
            <w:tcW w:w="1040" w:type="dxa"/>
            <w:vAlign w:val="bottom"/>
            <w:gridSpan w:val="2"/>
          </w:tcPr>
          <w:p>
            <w:pPr>
              <w:jc w:val="right"/>
              <w:ind w:right="206"/>
              <w:spacing w:after="0"/>
              <w:rPr>
                <w:sz w:val="20"/>
                <w:szCs w:val="20"/>
                <w:color w:val="auto"/>
              </w:rPr>
            </w:pPr>
            <w:r>
              <w:rPr>
                <w:rFonts w:ascii="Times New Roman" w:cs="Times New Roman" w:eastAsia="Times New Roman" w:hAnsi="Times New Roman"/>
                <w:sz w:val="15"/>
                <w:szCs w:val="15"/>
                <w:color w:val="auto"/>
              </w:rPr>
              <w:t>13,719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Noetic Psychedelic Fund LP</w:t>
            </w:r>
            <w:r>
              <w:rPr>
                <w:rFonts w:ascii="Times New Roman" w:cs="Times New Roman" w:eastAsia="Times New Roman" w:hAnsi="Times New Roman"/>
                <w:sz w:val="24"/>
                <w:szCs w:val="24"/>
                <w:color w:val="auto"/>
                <w:vertAlign w:val="superscript"/>
              </w:rPr>
              <w:t>(138)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1,249,092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1,249,092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Noetic Psychedelic Fund US LP</w:t>
            </w:r>
            <w:r>
              <w:rPr>
                <w:rFonts w:ascii="Times New Roman" w:cs="Times New Roman" w:eastAsia="Times New Roman" w:hAnsi="Times New Roman"/>
                <w:sz w:val="24"/>
                <w:szCs w:val="24"/>
                <w:color w:val="auto"/>
                <w:vertAlign w:val="superscript"/>
              </w:rPr>
              <w:t>(139)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950,530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950,530</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NuPharmAdvise LLC</w:t>
            </w:r>
            <w:r>
              <w:rPr>
                <w:rFonts w:ascii="Times New Roman" w:cs="Times New Roman" w:eastAsia="Times New Roman" w:hAnsi="Times New Roman"/>
                <w:sz w:val="24"/>
                <w:szCs w:val="24"/>
                <w:color w:val="auto"/>
                <w:vertAlign w:val="superscript"/>
              </w:rPr>
              <w:t>(140)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35,889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35,889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Ocama LP</w:t>
            </w:r>
            <w:r>
              <w:rPr>
                <w:rFonts w:ascii="Times New Roman" w:cs="Times New Roman" w:eastAsia="Times New Roman" w:hAnsi="Times New Roman"/>
                <w:sz w:val="24"/>
                <w:szCs w:val="24"/>
                <w:color w:val="auto"/>
                <w:vertAlign w:val="superscript"/>
              </w:rPr>
              <w:t>(141)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493,519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493,519</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Oliver Cox</w:t>
            </w:r>
            <w:r>
              <w:rPr>
                <w:rFonts w:ascii="Times New Roman" w:cs="Times New Roman" w:eastAsia="Times New Roman" w:hAnsi="Times New Roman"/>
                <w:sz w:val="24"/>
                <w:szCs w:val="24"/>
                <w:color w:val="auto"/>
                <w:vertAlign w:val="superscript"/>
              </w:rPr>
              <w:t>(142)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44,582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17,433</w:t>
            </w:r>
          </w:p>
        </w:tc>
        <w:tc>
          <w:tcPr>
            <w:tcW w:w="104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27,149</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Oliver Cox Ltd</w:t>
            </w:r>
            <w:r>
              <w:rPr>
                <w:rFonts w:ascii="Times New Roman" w:cs="Times New Roman" w:eastAsia="Times New Roman" w:hAnsi="Times New Roman"/>
                <w:sz w:val="24"/>
                <w:szCs w:val="24"/>
                <w:color w:val="auto"/>
                <w:vertAlign w:val="superscript"/>
              </w:rPr>
              <w:t>(143)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27,149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27,149</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OV BP Limited</w:t>
            </w:r>
            <w:r>
              <w:rPr>
                <w:rFonts w:ascii="Times New Roman" w:cs="Times New Roman" w:eastAsia="Times New Roman" w:hAnsi="Times New Roman"/>
                <w:sz w:val="24"/>
                <w:szCs w:val="24"/>
                <w:color w:val="auto"/>
                <w:vertAlign w:val="superscript"/>
              </w:rPr>
              <w:t>(144)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745,777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745,777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OV BP Series B Limited</w:t>
            </w:r>
            <w:r>
              <w:rPr>
                <w:rFonts w:ascii="Times New Roman" w:cs="Times New Roman" w:eastAsia="Times New Roman" w:hAnsi="Times New Roman"/>
                <w:sz w:val="24"/>
                <w:szCs w:val="24"/>
                <w:color w:val="auto"/>
                <w:vertAlign w:val="superscript"/>
              </w:rPr>
              <w:t>(145)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552,741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552,741</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Pacific Premier Trust A/C</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1400" w:type="dxa"/>
            <w:vAlign w:val="bottom"/>
            <w:shd w:val="clear" w:color="auto" w:fill="CCEEFF"/>
          </w:tcPr>
          <w:p>
            <w:pPr>
              <w:ind w:left="140"/>
              <w:spacing w:after="0" w:line="236" w:lineRule="exact"/>
              <w:rPr>
                <w:sz w:val="20"/>
                <w:szCs w:val="20"/>
                <w:color w:val="auto"/>
              </w:rPr>
            </w:pPr>
            <w:r>
              <w:rPr>
                <w:rFonts w:ascii="Times New Roman" w:cs="Times New Roman" w:eastAsia="Times New Roman" w:hAnsi="Times New Roman"/>
                <w:sz w:val="15"/>
                <w:szCs w:val="15"/>
                <w:color w:val="auto"/>
                <w:w w:val="99"/>
              </w:rPr>
              <w:t>080000030678</w:t>
            </w:r>
            <w:r>
              <w:rPr>
                <w:rFonts w:ascii="Times New Roman" w:cs="Times New Roman" w:eastAsia="Times New Roman" w:hAnsi="Times New Roman"/>
                <w:sz w:val="24"/>
                <w:szCs w:val="24"/>
                <w:color w:val="auto"/>
                <w:w w:val="99"/>
                <w:vertAlign w:val="superscript"/>
              </w:rPr>
              <w:t>(146)</w:t>
            </w: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5,142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5,142</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Panoramic Venture Partners LLC</w:t>
            </w:r>
            <w:r>
              <w:rPr>
                <w:rFonts w:ascii="Times New Roman" w:cs="Times New Roman" w:eastAsia="Times New Roman" w:hAnsi="Times New Roman"/>
                <w:sz w:val="24"/>
                <w:szCs w:val="24"/>
                <w:color w:val="auto"/>
                <w:vertAlign w:val="superscript"/>
              </w:rPr>
              <w:t>(147)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15,289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15,289</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Patricia Saputo</w:t>
            </w:r>
            <w:r>
              <w:rPr>
                <w:rFonts w:ascii="Times New Roman" w:cs="Times New Roman" w:eastAsia="Times New Roman" w:hAnsi="Times New Roman"/>
                <w:sz w:val="24"/>
                <w:szCs w:val="24"/>
                <w:color w:val="auto"/>
                <w:vertAlign w:val="superscript"/>
              </w:rPr>
              <w:t>(148)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39,086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39,086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Patricia Wellde</w:t>
            </w:r>
            <w:r>
              <w:rPr>
                <w:rFonts w:ascii="Times New Roman" w:cs="Times New Roman" w:eastAsia="Times New Roman" w:hAnsi="Times New Roman"/>
                <w:sz w:val="24"/>
                <w:szCs w:val="24"/>
                <w:color w:val="auto"/>
                <w:vertAlign w:val="superscript"/>
              </w:rPr>
              <w:t>(149)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329,568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329,568</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Patrick John Stephen Vernon</w:t>
            </w:r>
            <w:r>
              <w:rPr>
                <w:rFonts w:ascii="Times New Roman" w:cs="Times New Roman" w:eastAsia="Times New Roman" w:hAnsi="Times New Roman"/>
                <w:sz w:val="24"/>
                <w:szCs w:val="24"/>
                <w:color w:val="auto"/>
                <w:vertAlign w:val="superscript"/>
              </w:rPr>
              <w:t>(150)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799,723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799,723</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Patrick Wheen</w:t>
            </w:r>
            <w:r>
              <w:rPr>
                <w:rFonts w:ascii="Times New Roman" w:cs="Times New Roman" w:eastAsia="Times New Roman" w:hAnsi="Times New Roman"/>
                <w:sz w:val="24"/>
                <w:szCs w:val="24"/>
                <w:color w:val="auto"/>
                <w:vertAlign w:val="superscript"/>
              </w:rPr>
              <w:t>(151)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85,990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85,990</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Paul Gustav Josef Alexander Simon</w:t>
            </w:r>
            <w:r>
              <w:rPr>
                <w:rFonts w:ascii="Times New Roman" w:cs="Times New Roman" w:eastAsia="Times New Roman" w:hAnsi="Times New Roman"/>
                <w:sz w:val="24"/>
                <w:szCs w:val="24"/>
                <w:color w:val="auto"/>
                <w:vertAlign w:val="superscript"/>
              </w:rPr>
              <w:t>(152)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26,887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26,887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Peter Schuyler Hendricks</w:t>
            </w:r>
            <w:r>
              <w:rPr>
                <w:rFonts w:ascii="Times New Roman" w:cs="Times New Roman" w:eastAsia="Times New Roman" w:hAnsi="Times New Roman"/>
                <w:sz w:val="24"/>
                <w:szCs w:val="24"/>
                <w:color w:val="auto"/>
                <w:vertAlign w:val="superscript"/>
              </w:rPr>
              <w:t>(153)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33,347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33,347</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Peter Lee</w:t>
            </w:r>
            <w:r>
              <w:rPr>
                <w:rFonts w:ascii="Times New Roman" w:cs="Times New Roman" w:eastAsia="Times New Roman" w:hAnsi="Times New Roman"/>
                <w:sz w:val="24"/>
                <w:szCs w:val="24"/>
                <w:color w:val="auto"/>
                <w:vertAlign w:val="superscript"/>
              </w:rPr>
              <w:t>(154)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1,990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1,990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Peter-Paul Wünscher</w:t>
            </w:r>
            <w:r>
              <w:rPr>
                <w:rFonts w:ascii="Times New Roman" w:cs="Times New Roman" w:eastAsia="Times New Roman" w:hAnsi="Times New Roman"/>
                <w:sz w:val="24"/>
                <w:szCs w:val="24"/>
                <w:color w:val="auto"/>
                <w:vertAlign w:val="superscript"/>
              </w:rPr>
              <w:t>(155)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32,901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32,901</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Pinz Family LLC</w:t>
            </w:r>
            <w:r>
              <w:rPr>
                <w:rFonts w:ascii="Times New Roman" w:cs="Times New Roman" w:eastAsia="Times New Roman" w:hAnsi="Times New Roman"/>
                <w:sz w:val="24"/>
                <w:szCs w:val="24"/>
                <w:color w:val="auto"/>
                <w:vertAlign w:val="superscript"/>
              </w:rPr>
              <w:t>(156)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95,002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95,002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Ponies and Rainbows LLC</w:t>
            </w:r>
            <w:r>
              <w:rPr>
                <w:rFonts w:ascii="Times New Roman" w:cs="Times New Roman" w:eastAsia="Times New Roman" w:hAnsi="Times New Roman"/>
                <w:sz w:val="24"/>
                <w:szCs w:val="24"/>
                <w:color w:val="auto"/>
                <w:vertAlign w:val="superscript"/>
              </w:rPr>
              <w:t>(157)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23,599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23,599</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PowerOne Capital Corp</w:t>
            </w:r>
            <w:r>
              <w:rPr>
                <w:rFonts w:ascii="Times New Roman" w:cs="Times New Roman" w:eastAsia="Times New Roman" w:hAnsi="Times New Roman"/>
                <w:sz w:val="24"/>
                <w:szCs w:val="24"/>
                <w:color w:val="auto"/>
                <w:vertAlign w:val="superscript"/>
              </w:rPr>
              <w:t>(158)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524,713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524,713</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Quadrangle Nominees Limited</w:t>
            </w:r>
            <w:r>
              <w:rPr>
                <w:rFonts w:ascii="Times New Roman" w:cs="Times New Roman" w:eastAsia="Times New Roman" w:hAnsi="Times New Roman"/>
                <w:sz w:val="24"/>
                <w:szCs w:val="24"/>
                <w:color w:val="auto"/>
                <w:vertAlign w:val="superscript"/>
              </w:rPr>
              <w:t>(159)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39,086</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39,086</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Rachael Cox</w:t>
            </w:r>
            <w:r>
              <w:rPr>
                <w:rFonts w:ascii="Times New Roman" w:cs="Times New Roman" w:eastAsia="Times New Roman" w:hAnsi="Times New Roman"/>
                <w:sz w:val="24"/>
                <w:szCs w:val="24"/>
                <w:color w:val="auto"/>
                <w:vertAlign w:val="superscript"/>
              </w:rPr>
              <w:t>(160)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17,433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17,433</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Rachel Zeitlin</w:t>
            </w:r>
            <w:r>
              <w:rPr>
                <w:rFonts w:ascii="Times New Roman" w:cs="Times New Roman" w:eastAsia="Times New Roman" w:hAnsi="Times New Roman"/>
                <w:sz w:val="24"/>
                <w:szCs w:val="24"/>
                <w:color w:val="auto"/>
                <w:vertAlign w:val="superscript"/>
              </w:rPr>
              <w:t>(161)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24,675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24,675</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Raj Narayanaswamy</w:t>
            </w:r>
            <w:r>
              <w:rPr>
                <w:rFonts w:ascii="Times New Roman" w:cs="Times New Roman" w:eastAsia="Times New Roman" w:hAnsi="Times New Roman"/>
                <w:sz w:val="24"/>
                <w:szCs w:val="24"/>
                <w:color w:val="auto"/>
                <w:vertAlign w:val="superscript"/>
              </w:rPr>
              <w:t>(162)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234,521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234,521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Ram Sundaram</w:t>
            </w:r>
            <w:r>
              <w:rPr>
                <w:rFonts w:ascii="Times New Roman" w:cs="Times New Roman" w:eastAsia="Times New Roman" w:hAnsi="Times New Roman"/>
                <w:sz w:val="24"/>
                <w:szCs w:val="24"/>
                <w:color w:val="auto"/>
                <w:vertAlign w:val="superscript"/>
              </w:rPr>
              <w:t>(163)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81,972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81,972</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Receptor One LP</w:t>
            </w:r>
            <w:r>
              <w:rPr>
                <w:rFonts w:ascii="Times New Roman" w:cs="Times New Roman" w:eastAsia="Times New Roman" w:hAnsi="Times New Roman"/>
                <w:sz w:val="24"/>
                <w:szCs w:val="24"/>
                <w:color w:val="auto"/>
                <w:vertAlign w:val="superscript"/>
              </w:rPr>
              <w:t>(164)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30,581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30,581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Renee Runnalls</w:t>
            </w:r>
            <w:r>
              <w:rPr>
                <w:rFonts w:ascii="Times New Roman" w:cs="Times New Roman" w:eastAsia="Times New Roman" w:hAnsi="Times New Roman"/>
                <w:sz w:val="24"/>
                <w:szCs w:val="24"/>
                <w:color w:val="auto"/>
                <w:vertAlign w:val="superscript"/>
              </w:rPr>
              <w:t>(165)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87,623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87,623</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Richard Aseme</w:t>
            </w:r>
            <w:r>
              <w:rPr>
                <w:rFonts w:ascii="Times New Roman" w:cs="Times New Roman" w:eastAsia="Times New Roman" w:hAnsi="Times New Roman"/>
                <w:sz w:val="24"/>
                <w:szCs w:val="24"/>
                <w:color w:val="auto"/>
                <w:vertAlign w:val="superscript"/>
              </w:rPr>
              <w:t>(166)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15,634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15,634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Richard Reed</w:t>
            </w:r>
            <w:r>
              <w:rPr>
                <w:rFonts w:ascii="Times New Roman" w:cs="Times New Roman" w:eastAsia="Times New Roman" w:hAnsi="Times New Roman"/>
                <w:sz w:val="24"/>
                <w:szCs w:val="24"/>
                <w:color w:val="auto"/>
                <w:vertAlign w:val="superscript"/>
              </w:rPr>
              <w:t>(167)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350,110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350,110</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Rizwan Ahmed</w:t>
            </w:r>
            <w:r>
              <w:rPr>
                <w:rFonts w:ascii="Times New Roman" w:cs="Times New Roman" w:eastAsia="Times New Roman" w:hAnsi="Times New Roman"/>
                <w:sz w:val="24"/>
                <w:szCs w:val="24"/>
                <w:color w:val="auto"/>
                <w:vertAlign w:val="superscript"/>
              </w:rPr>
              <w:t>(168)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9,541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9,541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Robert O’Donoghue</w:t>
            </w:r>
            <w:r>
              <w:rPr>
                <w:rFonts w:ascii="Times New Roman" w:cs="Times New Roman" w:eastAsia="Times New Roman" w:hAnsi="Times New Roman"/>
                <w:sz w:val="24"/>
                <w:szCs w:val="24"/>
                <w:color w:val="auto"/>
                <w:vertAlign w:val="superscript"/>
              </w:rPr>
              <w:t>(169)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23,244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23,244</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Robin Lester Carhart-Harris</w:t>
            </w:r>
            <w:r>
              <w:rPr>
                <w:rFonts w:ascii="Times New Roman" w:cs="Times New Roman" w:eastAsia="Times New Roman" w:hAnsi="Times New Roman"/>
                <w:sz w:val="24"/>
                <w:szCs w:val="24"/>
                <w:color w:val="auto"/>
                <w:vertAlign w:val="superscript"/>
              </w:rPr>
              <w:t>(170)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58,630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58,630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Rock Feilding Mellen</w:t>
            </w:r>
            <w:r>
              <w:rPr>
                <w:rFonts w:ascii="Times New Roman" w:cs="Times New Roman" w:eastAsia="Times New Roman" w:hAnsi="Times New Roman"/>
                <w:sz w:val="24"/>
                <w:szCs w:val="24"/>
                <w:color w:val="auto"/>
                <w:vertAlign w:val="superscript"/>
              </w:rPr>
              <w:t>(171)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5,535,025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1.52%</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5,522,501</w:t>
            </w:r>
          </w:p>
        </w:tc>
        <w:tc>
          <w:tcPr>
            <w:tcW w:w="1040" w:type="dxa"/>
            <w:vAlign w:val="bottom"/>
            <w:gridSpan w:val="2"/>
          </w:tcPr>
          <w:p>
            <w:pPr>
              <w:jc w:val="right"/>
              <w:ind w:right="206"/>
              <w:spacing w:after="0"/>
              <w:rPr>
                <w:sz w:val="20"/>
                <w:szCs w:val="20"/>
                <w:color w:val="auto"/>
              </w:rPr>
            </w:pPr>
            <w:r>
              <w:rPr>
                <w:rFonts w:ascii="Times New Roman" w:cs="Times New Roman" w:eastAsia="Times New Roman" w:hAnsi="Times New Roman"/>
                <w:sz w:val="15"/>
                <w:szCs w:val="15"/>
                <w:color w:val="auto"/>
              </w:rPr>
              <w:t>12,524</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Ryan Bridges</w:t>
            </w:r>
            <w:r>
              <w:rPr>
                <w:rFonts w:ascii="Times New Roman" w:cs="Times New Roman" w:eastAsia="Times New Roman" w:hAnsi="Times New Roman"/>
                <w:sz w:val="24"/>
                <w:szCs w:val="24"/>
                <w:color w:val="auto"/>
                <w:vertAlign w:val="superscript"/>
              </w:rPr>
              <w:t>(172)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138,642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132,992</w:t>
            </w:r>
          </w:p>
        </w:tc>
        <w:tc>
          <w:tcPr>
            <w:tcW w:w="104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5,650</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Ryan Kohn</w:t>
            </w:r>
            <w:r>
              <w:rPr>
                <w:rFonts w:ascii="Times New Roman" w:cs="Times New Roman" w:eastAsia="Times New Roman" w:hAnsi="Times New Roman"/>
                <w:sz w:val="24"/>
                <w:szCs w:val="24"/>
                <w:color w:val="auto"/>
                <w:vertAlign w:val="superscript"/>
              </w:rPr>
              <w:t>(173)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19,741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19,741</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Ryan Walsh</w:t>
            </w:r>
            <w:r>
              <w:rPr>
                <w:rFonts w:ascii="Times New Roman" w:cs="Times New Roman" w:eastAsia="Times New Roman" w:hAnsi="Times New Roman"/>
                <w:sz w:val="24"/>
                <w:szCs w:val="24"/>
                <w:color w:val="auto"/>
                <w:vertAlign w:val="superscript"/>
              </w:rPr>
              <w:t>(174)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49,268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49,268</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Sajor Capital Investments LLC</w:t>
            </w:r>
            <w:r>
              <w:rPr>
                <w:rFonts w:ascii="Times New Roman" w:cs="Times New Roman" w:eastAsia="Times New Roman" w:hAnsi="Times New Roman"/>
                <w:sz w:val="24"/>
                <w:szCs w:val="24"/>
                <w:color w:val="auto"/>
                <w:vertAlign w:val="superscript"/>
              </w:rPr>
              <w:t>(175)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31,033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31,033</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Sarah Calascione</w:t>
            </w:r>
            <w:r>
              <w:rPr>
                <w:rFonts w:ascii="Times New Roman" w:cs="Times New Roman" w:eastAsia="Times New Roman" w:hAnsi="Times New Roman"/>
                <w:sz w:val="24"/>
                <w:szCs w:val="24"/>
                <w:color w:val="auto"/>
                <w:vertAlign w:val="superscript"/>
              </w:rPr>
              <w:t>(176)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48,957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48,957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Sausilito Ltd</w:t>
            </w:r>
            <w:r>
              <w:rPr>
                <w:rFonts w:ascii="Times New Roman" w:cs="Times New Roman" w:eastAsia="Times New Roman" w:hAnsi="Times New Roman"/>
                <w:sz w:val="24"/>
                <w:szCs w:val="24"/>
                <w:color w:val="auto"/>
                <w:vertAlign w:val="superscript"/>
              </w:rPr>
              <w:t>(177)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26,057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26,057</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Scion Clan Trust</w:t>
            </w:r>
            <w:r>
              <w:rPr>
                <w:rFonts w:ascii="Times New Roman" w:cs="Times New Roman" w:eastAsia="Times New Roman" w:hAnsi="Times New Roman"/>
                <w:sz w:val="24"/>
                <w:szCs w:val="24"/>
                <w:color w:val="auto"/>
                <w:vertAlign w:val="superscript"/>
              </w:rPr>
              <w:t>(178)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16,450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16,450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SCM Investment LP</w:t>
            </w:r>
            <w:r>
              <w:rPr>
                <w:rFonts w:ascii="Times New Roman" w:cs="Times New Roman" w:eastAsia="Times New Roman" w:hAnsi="Times New Roman"/>
                <w:sz w:val="24"/>
                <w:szCs w:val="24"/>
                <w:color w:val="auto"/>
                <w:vertAlign w:val="superscript"/>
              </w:rPr>
              <w:t>(179)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32,901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32,901</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Scott Worrich</w:t>
            </w:r>
            <w:r>
              <w:rPr>
                <w:rFonts w:ascii="Times New Roman" w:cs="Times New Roman" w:eastAsia="Times New Roman" w:hAnsi="Times New Roman"/>
                <w:sz w:val="24"/>
                <w:szCs w:val="24"/>
                <w:color w:val="auto"/>
                <w:vertAlign w:val="superscript"/>
              </w:rPr>
              <w:t>(180)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89,995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89,995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Selkogen EOOD</w:t>
            </w:r>
            <w:r>
              <w:rPr>
                <w:rFonts w:ascii="Times New Roman" w:cs="Times New Roman" w:eastAsia="Times New Roman" w:hAnsi="Times New Roman"/>
                <w:sz w:val="24"/>
                <w:szCs w:val="24"/>
                <w:color w:val="auto"/>
                <w:vertAlign w:val="superscript"/>
              </w:rPr>
              <w:t>(181)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219,802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219,802</w:t>
            </w:r>
          </w:p>
        </w:tc>
        <w:tc>
          <w:tcPr>
            <w:tcW w:w="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Seth Morrison</w:t>
            </w:r>
            <w:r>
              <w:rPr>
                <w:rFonts w:ascii="Times New Roman" w:cs="Times New Roman" w:eastAsia="Times New Roman" w:hAnsi="Times New Roman"/>
                <w:sz w:val="24"/>
                <w:szCs w:val="24"/>
                <w:color w:val="auto"/>
                <w:vertAlign w:val="superscript"/>
              </w:rPr>
              <w:t>(182)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46,489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46,489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12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Seth Tabatznik</w:t>
            </w:r>
            <w:r>
              <w:rPr>
                <w:rFonts w:ascii="Times New Roman" w:cs="Times New Roman" w:eastAsia="Times New Roman" w:hAnsi="Times New Roman"/>
                <w:sz w:val="24"/>
                <w:szCs w:val="24"/>
                <w:color w:val="auto"/>
                <w:vertAlign w:val="superscript"/>
              </w:rPr>
              <w:t>(183)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156,346</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156,346</w:t>
            </w:r>
          </w:p>
        </w:tc>
        <w:tc>
          <w:tcPr>
            <w:tcW w:w="60" w:type="dxa"/>
            <w:vAlign w:val="bottom"/>
          </w:tcPr>
          <w:p>
            <w:pPr>
              <w:spacing w:after="0"/>
              <w:rPr>
                <w:sz w:val="24"/>
                <w:szCs w:val="24"/>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S-14</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880" w:top="251" w:right="899" w:bottom="1440" w:gutter="0" w:footer="0" w:header="0"/>
        </w:sectPr>
      </w:pPr>
    </w:p>
    <w:bookmarkStart w:id="16" w:name="page17"/>
    <w:bookmarkEnd w:id="16"/>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2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14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 Ownership Prior</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 Number of</w:t>
            </w:r>
          </w:p>
        </w:tc>
        <w:tc>
          <w:tcPr>
            <w:tcW w:w="60" w:type="dxa"/>
            <w:vAlign w:val="bottom"/>
          </w:tcPr>
          <w:p>
            <w:pPr>
              <w:spacing w:after="0"/>
              <w:rPr>
                <w:sz w:val="24"/>
                <w:szCs w:val="24"/>
                <w:color w:val="auto"/>
              </w:rPr>
            </w:pPr>
          </w:p>
        </w:tc>
        <w:tc>
          <w:tcPr>
            <w:tcW w:w="17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Beneficial Ownership After</w:t>
            </w:r>
          </w:p>
        </w:tc>
        <w:tc>
          <w:tcPr>
            <w:tcW w:w="0" w:type="dxa"/>
            <w:vAlign w:val="bottom"/>
          </w:tcPr>
          <w:p>
            <w:pPr>
              <w:spacing w:after="0"/>
              <w:rPr>
                <w:sz w:val="1"/>
                <w:szCs w:val="1"/>
                <w:color w:val="auto"/>
              </w:rPr>
            </w:pPr>
          </w:p>
        </w:tc>
      </w:tr>
      <w:tr>
        <w:trPr>
          <w:trHeight w:val="137"/>
        </w:trPr>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Common Shares Subject to</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of All Common Shares</w:t>
            </w:r>
          </w:p>
        </w:tc>
        <w:tc>
          <w:tcPr>
            <w:tcW w:w="0" w:type="dxa"/>
            <w:vAlign w:val="bottom"/>
          </w:tcPr>
          <w:p>
            <w:pPr>
              <w:spacing w:after="0"/>
              <w:rPr>
                <w:sz w:val="1"/>
                <w:szCs w:val="1"/>
                <w:color w:val="auto"/>
              </w:rPr>
            </w:pPr>
          </w:p>
        </w:tc>
      </w:tr>
      <w:tr>
        <w:trPr>
          <w:trHeight w:val="137"/>
        </w:trPr>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left="586"/>
              <w:spacing w:after="0" w:line="137"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Resale Pursuant to this</w:t>
            </w:r>
          </w:p>
        </w:tc>
        <w:tc>
          <w:tcPr>
            <w:tcW w:w="60" w:type="dxa"/>
            <w:vAlign w:val="bottom"/>
          </w:tcPr>
          <w:p>
            <w:pPr>
              <w:spacing w:after="0"/>
              <w:rPr>
                <w:sz w:val="11"/>
                <w:szCs w:val="11"/>
                <w:color w:val="auto"/>
              </w:rPr>
            </w:pPr>
          </w:p>
        </w:tc>
        <w:tc>
          <w:tcPr>
            <w:tcW w:w="17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Subject to Resale Pursuant to</w:t>
            </w: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this Prospectus Supplement§</w:t>
            </w:r>
          </w:p>
        </w:tc>
        <w:tc>
          <w:tcPr>
            <w:tcW w:w="0" w:type="dxa"/>
            <w:vAlign w:val="bottom"/>
          </w:tcPr>
          <w:p>
            <w:pPr>
              <w:spacing w:after="0"/>
              <w:rPr>
                <w:sz w:val="1"/>
                <w:szCs w:val="1"/>
                <w:color w:val="auto"/>
              </w:rPr>
            </w:pPr>
          </w:p>
        </w:tc>
      </w:tr>
      <w:tr>
        <w:trPr>
          <w:trHeight w:val="22"/>
        </w:trPr>
        <w:tc>
          <w:tcPr>
            <w:tcW w:w="2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Securityholders</w:t>
            </w: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80" w:type="dxa"/>
            <w:vAlign w:val="bottom"/>
            <w:gridSpan w:val="3"/>
            <w:vMerge w:val="continue"/>
          </w:tcPr>
          <w:p>
            <w:pPr>
              <w:spacing w:after="0"/>
              <w:rPr>
                <w:sz w:val="14"/>
                <w:szCs w:val="14"/>
                <w:color w:val="auto"/>
              </w:rPr>
            </w:pP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
        </w:trPr>
        <w:tc>
          <w:tcPr>
            <w:tcW w:w="1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0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Shelly Baldwin</w:t>
            </w:r>
            <w:r>
              <w:rPr>
                <w:rFonts w:ascii="Times New Roman" w:cs="Times New Roman" w:eastAsia="Times New Roman" w:hAnsi="Times New Roman"/>
                <w:sz w:val="24"/>
                <w:szCs w:val="24"/>
                <w:color w:val="auto"/>
                <w:vertAlign w:val="superscript"/>
              </w:rPr>
              <w:t>(184)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7,326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7,326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Shlomo Noy</w:t>
            </w:r>
            <w:r>
              <w:rPr>
                <w:rFonts w:ascii="Times New Roman" w:cs="Times New Roman" w:eastAsia="Times New Roman" w:hAnsi="Times New Roman"/>
                <w:sz w:val="24"/>
                <w:szCs w:val="24"/>
                <w:color w:val="auto"/>
                <w:vertAlign w:val="superscript"/>
              </w:rPr>
              <w:t>(185)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16,450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16,450</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Silver Spike Sponsor II, LLC</w:t>
            </w:r>
            <w:r>
              <w:rPr>
                <w:rFonts w:ascii="Times New Roman" w:cs="Times New Roman" w:eastAsia="Times New Roman" w:hAnsi="Times New Roman"/>
                <w:sz w:val="24"/>
                <w:szCs w:val="24"/>
                <w:color w:val="auto"/>
                <w:vertAlign w:val="superscript"/>
              </w:rPr>
              <w:t>(186)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520,391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520,391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Simon Franks</w:t>
            </w:r>
            <w:r>
              <w:rPr>
                <w:rFonts w:ascii="Times New Roman" w:cs="Times New Roman" w:eastAsia="Times New Roman" w:hAnsi="Times New Roman"/>
                <w:sz w:val="24"/>
                <w:szCs w:val="24"/>
                <w:color w:val="auto"/>
                <w:vertAlign w:val="superscript"/>
              </w:rPr>
              <w:t>(187)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109,442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109,442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Steven Martin</w:t>
            </w:r>
            <w:r>
              <w:rPr>
                <w:rFonts w:ascii="Times New Roman" w:cs="Times New Roman" w:eastAsia="Times New Roman" w:hAnsi="Times New Roman"/>
                <w:sz w:val="24"/>
                <w:szCs w:val="24"/>
                <w:color w:val="auto"/>
                <w:vertAlign w:val="superscript"/>
              </w:rPr>
              <w:t>(188)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34,866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34,866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Steven Ricciardi</w:t>
            </w:r>
            <w:r>
              <w:rPr>
                <w:rFonts w:ascii="Times New Roman" w:cs="Times New Roman" w:eastAsia="Times New Roman" w:hAnsi="Times New Roman"/>
                <w:sz w:val="24"/>
                <w:szCs w:val="24"/>
                <w:color w:val="auto"/>
                <w:vertAlign w:val="superscript"/>
              </w:rPr>
              <w:t>(189)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32,052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32,052</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Stewart Halperin</w:t>
            </w:r>
            <w:r>
              <w:rPr>
                <w:rFonts w:ascii="Times New Roman" w:cs="Times New Roman" w:eastAsia="Times New Roman" w:hAnsi="Times New Roman"/>
                <w:sz w:val="24"/>
                <w:szCs w:val="24"/>
                <w:color w:val="auto"/>
                <w:vertAlign w:val="superscript"/>
              </w:rPr>
              <w:t>(190)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109,442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109,442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Tatewari Ltd</w:t>
            </w:r>
            <w:r>
              <w:rPr>
                <w:rFonts w:ascii="Times New Roman" w:cs="Times New Roman" w:eastAsia="Times New Roman" w:hAnsi="Times New Roman"/>
                <w:sz w:val="24"/>
                <w:szCs w:val="24"/>
                <w:color w:val="auto"/>
                <w:vertAlign w:val="superscript"/>
              </w:rPr>
              <w:t>(191)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498,101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498,101</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The DiCapo Family Trust</w:t>
            </w:r>
            <w:r>
              <w:rPr>
                <w:rFonts w:ascii="Times New Roman" w:cs="Times New Roman" w:eastAsia="Times New Roman" w:hAnsi="Times New Roman"/>
                <w:sz w:val="24"/>
                <w:szCs w:val="24"/>
                <w:color w:val="auto"/>
                <w:vertAlign w:val="superscript"/>
              </w:rPr>
              <w:t>(192)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1,396,335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1,396,335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The Estate of J Barry Rotenberg</w:t>
            </w:r>
            <w:r>
              <w:rPr>
                <w:rFonts w:ascii="Times New Roman" w:cs="Times New Roman" w:eastAsia="Times New Roman" w:hAnsi="Times New Roman"/>
                <w:sz w:val="24"/>
                <w:szCs w:val="24"/>
                <w:color w:val="auto"/>
                <w:vertAlign w:val="superscript"/>
              </w:rPr>
              <w:t>(193)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16,450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16,450</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The Shining Rock Foundation</w:t>
            </w:r>
            <w:r>
              <w:rPr>
                <w:rFonts w:ascii="Times New Roman" w:cs="Times New Roman" w:eastAsia="Times New Roman" w:hAnsi="Times New Roman"/>
                <w:sz w:val="24"/>
                <w:szCs w:val="24"/>
                <w:color w:val="auto"/>
                <w:vertAlign w:val="superscript"/>
              </w:rPr>
              <w:t>(194)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76,447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76,447</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Theresa Louise Tribble</w:t>
            </w:r>
            <w:r>
              <w:rPr>
                <w:rFonts w:ascii="Times New Roman" w:cs="Times New Roman" w:eastAsia="Times New Roman" w:hAnsi="Times New Roman"/>
                <w:sz w:val="24"/>
                <w:szCs w:val="24"/>
                <w:color w:val="auto"/>
                <w:vertAlign w:val="superscript"/>
              </w:rPr>
              <w:t>(195)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15,724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15,724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Thomas Joshua Stratford Dugdale</w:t>
            </w:r>
            <w:r>
              <w:rPr>
                <w:rFonts w:ascii="Times New Roman" w:cs="Times New Roman" w:eastAsia="Times New Roman" w:hAnsi="Times New Roman"/>
                <w:sz w:val="24"/>
                <w:szCs w:val="24"/>
                <w:color w:val="auto"/>
                <w:vertAlign w:val="superscript"/>
              </w:rPr>
              <w:t>(196)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156,346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156,346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Thomas C. Swift</w:t>
            </w:r>
            <w:r>
              <w:rPr>
                <w:rFonts w:ascii="Times New Roman" w:cs="Times New Roman" w:eastAsia="Times New Roman" w:hAnsi="Times New Roman"/>
                <w:sz w:val="24"/>
                <w:szCs w:val="24"/>
                <w:color w:val="auto"/>
                <w:vertAlign w:val="superscript"/>
              </w:rPr>
              <w:t>(197)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15,724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15,724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Tim Haines</w:t>
            </w:r>
            <w:r>
              <w:rPr>
                <w:rFonts w:ascii="Times New Roman" w:cs="Times New Roman" w:eastAsia="Times New Roman" w:hAnsi="Times New Roman"/>
                <w:sz w:val="24"/>
                <w:szCs w:val="24"/>
                <w:color w:val="auto"/>
                <w:vertAlign w:val="superscript"/>
              </w:rPr>
              <w:t>(198)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1,036,556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1,036,556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Timothy Glyn Mason</w:t>
            </w:r>
            <w:r>
              <w:rPr>
                <w:rFonts w:ascii="Times New Roman" w:cs="Times New Roman" w:eastAsia="Times New Roman" w:hAnsi="Times New Roman"/>
                <w:sz w:val="24"/>
                <w:szCs w:val="24"/>
                <w:color w:val="auto"/>
                <w:vertAlign w:val="superscript"/>
              </w:rPr>
              <w:t>(199)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1,764,635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1,302,891</w:t>
            </w: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5"/>
                <w:szCs w:val="15"/>
                <w:color w:val="auto"/>
              </w:rPr>
              <w:t>461,744</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Timothy Sullivan</w:t>
            </w:r>
            <w:r>
              <w:rPr>
                <w:rFonts w:ascii="Times New Roman" w:cs="Times New Roman" w:eastAsia="Times New Roman" w:hAnsi="Times New Roman"/>
                <w:sz w:val="24"/>
                <w:szCs w:val="24"/>
                <w:color w:val="auto"/>
                <w:vertAlign w:val="superscript"/>
              </w:rPr>
              <w:t>(200)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15,289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15,289</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Toby Chapman</w:t>
            </w:r>
            <w:r>
              <w:rPr>
                <w:rFonts w:ascii="Times New Roman" w:cs="Times New Roman" w:eastAsia="Times New Roman" w:hAnsi="Times New Roman"/>
                <w:sz w:val="24"/>
                <w:szCs w:val="24"/>
                <w:color w:val="auto"/>
                <w:vertAlign w:val="superscript"/>
              </w:rPr>
              <w:t>(201)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46,489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46,489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Todd Cohen</w:t>
            </w:r>
            <w:r>
              <w:rPr>
                <w:rFonts w:ascii="Times New Roman" w:cs="Times New Roman" w:eastAsia="Times New Roman" w:hAnsi="Times New Roman"/>
                <w:sz w:val="24"/>
                <w:szCs w:val="24"/>
                <w:color w:val="auto"/>
                <w:vertAlign w:val="superscript"/>
              </w:rPr>
              <w:t>(202)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305,802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305,802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Toro Consulting Ltd</w:t>
            </w:r>
            <w:r>
              <w:rPr>
                <w:rFonts w:ascii="Times New Roman" w:cs="Times New Roman" w:eastAsia="Times New Roman" w:hAnsi="Times New Roman"/>
                <w:sz w:val="24"/>
                <w:szCs w:val="24"/>
                <w:color w:val="auto"/>
                <w:vertAlign w:val="superscript"/>
              </w:rPr>
              <w:t>(203)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83,279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83,279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Transliminal LLC</w:t>
            </w:r>
            <w:r>
              <w:rPr>
                <w:rFonts w:ascii="Times New Roman" w:cs="Times New Roman" w:eastAsia="Times New Roman" w:hAnsi="Times New Roman"/>
                <w:sz w:val="24"/>
                <w:szCs w:val="24"/>
                <w:color w:val="auto"/>
                <w:vertAlign w:val="superscript"/>
              </w:rPr>
              <w:t>(204)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64,171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64,171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UK FF Nominees Limited</w:t>
            </w:r>
            <w:r>
              <w:rPr>
                <w:rFonts w:ascii="Times New Roman" w:cs="Times New Roman" w:eastAsia="Times New Roman" w:hAnsi="Times New Roman"/>
                <w:sz w:val="24"/>
                <w:szCs w:val="24"/>
                <w:color w:val="auto"/>
                <w:vertAlign w:val="superscript"/>
              </w:rPr>
              <w:t>(205)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1,443,225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1,443,225</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Uri Fruchtman</w:t>
            </w:r>
            <w:r>
              <w:rPr>
                <w:rFonts w:ascii="Times New Roman" w:cs="Times New Roman" w:eastAsia="Times New Roman" w:hAnsi="Times New Roman"/>
                <w:sz w:val="24"/>
                <w:szCs w:val="24"/>
                <w:color w:val="auto"/>
                <w:vertAlign w:val="superscript"/>
              </w:rPr>
              <w:t>(206)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191,695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191,695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Vanessa Moore</w:t>
            </w:r>
            <w:r>
              <w:rPr>
                <w:rFonts w:ascii="Times New Roman" w:cs="Times New Roman" w:eastAsia="Times New Roman" w:hAnsi="Times New Roman"/>
                <w:sz w:val="24"/>
                <w:szCs w:val="24"/>
                <w:color w:val="auto"/>
                <w:vertAlign w:val="superscript"/>
              </w:rPr>
              <w:t>(207)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9,297</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9,297</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Venning Thane Stenner</w:t>
            </w:r>
            <w:r>
              <w:rPr>
                <w:rFonts w:ascii="Times New Roman" w:cs="Times New Roman" w:eastAsia="Times New Roman" w:hAnsi="Times New Roman"/>
                <w:sz w:val="24"/>
                <w:szCs w:val="24"/>
                <w:color w:val="auto"/>
                <w:vertAlign w:val="superscript"/>
              </w:rPr>
              <w:t>(208)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243,902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243,902</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Vice Capital LLC</w:t>
            </w:r>
            <w:r>
              <w:rPr>
                <w:rFonts w:ascii="Times New Roman" w:cs="Times New Roman" w:eastAsia="Times New Roman" w:hAnsi="Times New Roman"/>
                <w:sz w:val="24"/>
                <w:szCs w:val="24"/>
                <w:color w:val="auto"/>
                <w:vertAlign w:val="superscript"/>
              </w:rPr>
              <w:t>(209)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1,193,119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1,193,119</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Vinsco PTY Ltd atf the Vinsco Investment</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15"/>
                <w:szCs w:val="15"/>
                <w:color w:val="auto"/>
              </w:rPr>
              <w:t>Trust</w:t>
            </w:r>
            <w:r>
              <w:rPr>
                <w:rFonts w:ascii="Times New Roman" w:cs="Times New Roman" w:eastAsia="Times New Roman" w:hAnsi="Times New Roman"/>
                <w:sz w:val="24"/>
                <w:szCs w:val="24"/>
                <w:color w:val="auto"/>
                <w:vertAlign w:val="superscript"/>
              </w:rPr>
              <w:t>(210)</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23,452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23,452</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Warren Taylor</w:t>
            </w:r>
            <w:r>
              <w:rPr>
                <w:rFonts w:ascii="Times New Roman" w:cs="Times New Roman" w:eastAsia="Times New Roman" w:hAnsi="Times New Roman"/>
                <w:sz w:val="24"/>
                <w:szCs w:val="24"/>
                <w:color w:val="auto"/>
                <w:vertAlign w:val="superscript"/>
              </w:rPr>
              <w:t>(211)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23,244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23,244</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What If Ventures Beckley 2021 a Series of</w:t>
            </w: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68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15"/>
                <w:szCs w:val="15"/>
                <w:color w:val="auto"/>
              </w:rPr>
              <w:t>CGF2021 LLC</w:t>
            </w:r>
            <w:r>
              <w:rPr>
                <w:rFonts w:ascii="Times New Roman" w:cs="Times New Roman" w:eastAsia="Times New Roman" w:hAnsi="Times New Roman"/>
                <w:sz w:val="24"/>
                <w:szCs w:val="24"/>
                <w:color w:val="auto"/>
                <w:vertAlign w:val="superscript"/>
              </w:rPr>
              <w:t>(212)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609,079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609,079</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William M Roberts</w:t>
            </w:r>
            <w:r>
              <w:rPr>
                <w:rFonts w:ascii="Times New Roman" w:cs="Times New Roman" w:eastAsia="Times New Roman" w:hAnsi="Times New Roman"/>
                <w:sz w:val="24"/>
                <w:szCs w:val="24"/>
                <w:color w:val="auto"/>
                <w:vertAlign w:val="superscript"/>
              </w:rPr>
              <w:t>(213)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329,317</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329,317</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Wood Capital Ltd</w:t>
            </w:r>
            <w:r>
              <w:rPr>
                <w:rFonts w:ascii="Times New Roman" w:cs="Times New Roman" w:eastAsia="Times New Roman" w:hAnsi="Times New Roman"/>
                <w:sz w:val="24"/>
                <w:szCs w:val="24"/>
                <w:color w:val="auto"/>
                <w:vertAlign w:val="superscript"/>
              </w:rPr>
              <w:t>(214)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3,126,951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3,126,951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Woven Labs LLC</w:t>
            </w:r>
            <w:r>
              <w:rPr>
                <w:rFonts w:ascii="Times New Roman" w:cs="Times New Roman" w:eastAsia="Times New Roman" w:hAnsi="Times New Roman"/>
                <w:sz w:val="24"/>
                <w:szCs w:val="24"/>
                <w:color w:val="auto"/>
                <w:vertAlign w:val="superscript"/>
              </w:rPr>
              <w:t>(215)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1,489,115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34"/>
              <w:spacing w:after="0"/>
              <w:rPr>
                <w:sz w:val="20"/>
                <w:szCs w:val="20"/>
                <w:color w:val="auto"/>
              </w:rPr>
            </w:pPr>
            <w:r>
              <w:rPr>
                <w:rFonts w:ascii="Times New Roman" w:cs="Times New Roman" w:eastAsia="Times New Roman" w:hAnsi="Times New Roman"/>
                <w:sz w:val="15"/>
                <w:szCs w:val="15"/>
                <w:color w:val="auto"/>
              </w:rPr>
              <w:t>1,489,115</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Xtra Gold Resources Corp.</w:t>
            </w:r>
            <w:r>
              <w:rPr>
                <w:rFonts w:ascii="Times New Roman" w:cs="Times New Roman" w:eastAsia="Times New Roman" w:hAnsi="Times New Roman"/>
                <w:sz w:val="24"/>
                <w:szCs w:val="24"/>
                <w:color w:val="auto"/>
                <w:vertAlign w:val="superscript"/>
              </w:rPr>
              <w:t>(216)</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60,278</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60,278</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Xuan Karen Fang</w:t>
            </w:r>
            <w:r>
              <w:rPr>
                <w:rFonts w:ascii="Times New Roman" w:cs="Times New Roman" w:eastAsia="Times New Roman" w:hAnsi="Times New Roman"/>
                <w:sz w:val="24"/>
                <w:szCs w:val="24"/>
                <w:color w:val="auto"/>
                <w:vertAlign w:val="superscript"/>
              </w:rPr>
              <w:t>(217)</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40,931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40,931</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ZSP Capital LLC</w:t>
            </w:r>
            <w:r>
              <w:rPr>
                <w:rFonts w:ascii="Times New Roman" w:cs="Times New Roman" w:eastAsia="Times New Roman" w:hAnsi="Times New Roman"/>
                <w:sz w:val="24"/>
                <w:szCs w:val="24"/>
                <w:color w:val="auto"/>
                <w:vertAlign w:val="superscript"/>
              </w:rPr>
              <w:t>(218)</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56,284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56,284</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Zvi Firon Law Company</w:t>
            </w:r>
            <w:r>
              <w:rPr>
                <w:rFonts w:ascii="Times New Roman" w:cs="Times New Roman" w:eastAsia="Times New Roman" w:hAnsi="Times New Roman"/>
                <w:sz w:val="24"/>
                <w:szCs w:val="24"/>
                <w:color w:val="auto"/>
                <w:vertAlign w:val="superscript"/>
              </w:rPr>
              <w:t>(219)</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16,450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16,450</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Falkora Investments Europe Limited</w:t>
            </w:r>
            <w:r>
              <w:rPr>
                <w:rFonts w:ascii="Times New Roman" w:cs="Times New Roman" w:eastAsia="Times New Roman" w:hAnsi="Times New Roman"/>
                <w:sz w:val="24"/>
                <w:szCs w:val="24"/>
                <w:color w:val="auto"/>
                <w:vertAlign w:val="superscript"/>
              </w:rPr>
              <w:t>(220)</w:t>
            </w:r>
          </w:p>
        </w:tc>
        <w:tc>
          <w:tcPr>
            <w:tcW w:w="9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111,746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5"/>
                <w:szCs w:val="15"/>
                <w:color w:val="auto"/>
              </w:rPr>
              <w:t>111,746</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Anthony Byrne</w:t>
            </w:r>
            <w:r>
              <w:rPr>
                <w:rFonts w:ascii="Times New Roman" w:cs="Times New Roman" w:eastAsia="Times New Roman" w:hAnsi="Times New Roman"/>
                <w:sz w:val="24"/>
                <w:szCs w:val="24"/>
                <w:color w:val="auto"/>
                <w:vertAlign w:val="superscript"/>
              </w:rPr>
              <w:t>(221)</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6,580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6,580</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Wealth And Tax Group Limited</w:t>
            </w:r>
            <w:r>
              <w:rPr>
                <w:rFonts w:ascii="Times New Roman" w:cs="Times New Roman" w:eastAsia="Times New Roman" w:hAnsi="Times New Roman"/>
                <w:sz w:val="24"/>
                <w:szCs w:val="24"/>
                <w:color w:val="auto"/>
                <w:vertAlign w:val="superscript"/>
              </w:rPr>
              <w:t>(222)</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9,870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9,870</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tcPr>
          <w:p>
            <w:pPr>
              <w:spacing w:after="0" w:line="224" w:lineRule="exact"/>
              <w:rPr>
                <w:sz w:val="20"/>
                <w:szCs w:val="20"/>
                <w:color w:val="auto"/>
              </w:rPr>
            </w:pPr>
            <w:r>
              <w:rPr>
                <w:rFonts w:ascii="Times New Roman" w:cs="Times New Roman" w:eastAsia="Times New Roman" w:hAnsi="Times New Roman"/>
                <w:sz w:val="15"/>
                <w:szCs w:val="15"/>
                <w:color w:val="auto"/>
              </w:rPr>
              <w:t>Octavius &amp; Joanne Black</w:t>
            </w:r>
            <w:r>
              <w:rPr>
                <w:rFonts w:ascii="Times New Roman" w:cs="Times New Roman" w:eastAsia="Times New Roman" w:hAnsi="Times New Roman"/>
                <w:sz w:val="24"/>
                <w:szCs w:val="24"/>
                <w:color w:val="auto"/>
                <w:vertAlign w:val="superscript"/>
              </w:rPr>
              <w:t>(223)</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39,086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39,086</w:t>
            </w:r>
          </w:p>
        </w:tc>
        <w:tc>
          <w:tcPr>
            <w:tcW w:w="60" w:type="dxa"/>
            <w:vAlign w:val="bottom"/>
          </w:tcPr>
          <w:p>
            <w:pPr>
              <w:spacing w:after="0"/>
              <w:rPr>
                <w:sz w:val="19"/>
                <w:szCs w:val="19"/>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2680" w:type="dxa"/>
            <w:vAlign w:val="bottom"/>
            <w:gridSpan w:val="3"/>
            <w:shd w:val="clear" w:color="auto" w:fill="CCEEFF"/>
          </w:tcPr>
          <w:p>
            <w:pPr>
              <w:spacing w:after="0" w:line="224" w:lineRule="exact"/>
              <w:rPr>
                <w:sz w:val="20"/>
                <w:szCs w:val="20"/>
                <w:color w:val="auto"/>
              </w:rPr>
            </w:pPr>
            <w:r>
              <w:rPr>
                <w:rFonts w:ascii="Times New Roman" w:cs="Times New Roman" w:eastAsia="Times New Roman" w:hAnsi="Times New Roman"/>
                <w:sz w:val="15"/>
                <w:szCs w:val="15"/>
                <w:color w:val="auto"/>
              </w:rPr>
              <w:t>Kelly Rayburn</w:t>
            </w:r>
            <w:r>
              <w:rPr>
                <w:rFonts w:ascii="Times New Roman" w:cs="Times New Roman" w:eastAsia="Times New Roman" w:hAnsi="Times New Roman"/>
                <w:sz w:val="24"/>
                <w:szCs w:val="24"/>
                <w:color w:val="auto"/>
                <w:vertAlign w:val="superscript"/>
              </w:rPr>
              <w:t>(224)</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5,535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5"/>
                <w:szCs w:val="15"/>
                <w:color w:val="auto"/>
              </w:rPr>
              <w:t>5,535</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27"/>
        </w:trPr>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Christian Af Jochnick</w:t>
            </w:r>
            <w:r>
              <w:rPr>
                <w:rFonts w:ascii="Times New Roman" w:cs="Times New Roman" w:eastAsia="Times New Roman" w:hAnsi="Times New Roman"/>
                <w:sz w:val="24"/>
                <w:szCs w:val="24"/>
                <w:color w:val="auto"/>
                <w:vertAlign w:val="superscript"/>
              </w:rPr>
              <w:t>(225)</w:t>
            </w:r>
          </w:p>
        </w:tc>
        <w:tc>
          <w:tcPr>
            <w:tcW w:w="960" w:type="dxa"/>
            <w:vAlign w:val="bottom"/>
          </w:tcPr>
          <w:p>
            <w:pPr>
              <w:jc w:val="right"/>
              <w:ind w:right="106"/>
              <w:spacing w:after="0"/>
              <w:rPr>
                <w:sz w:val="20"/>
                <w:szCs w:val="20"/>
                <w:color w:val="auto"/>
              </w:rPr>
            </w:pPr>
            <w:r>
              <w:rPr>
                <w:rFonts w:ascii="Times New Roman" w:cs="Times New Roman" w:eastAsia="Times New Roman" w:hAnsi="Times New Roman"/>
                <w:sz w:val="15"/>
                <w:szCs w:val="15"/>
                <w:color w:val="auto"/>
              </w:rPr>
              <w:t>977,168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ind w:right="414"/>
              <w:spacing w:after="0"/>
              <w:rPr>
                <w:sz w:val="20"/>
                <w:szCs w:val="20"/>
                <w:color w:val="auto"/>
              </w:rPr>
            </w:pPr>
            <w:r>
              <w:rPr>
                <w:rFonts w:ascii="Times New Roman" w:cs="Times New Roman" w:eastAsia="Times New Roman" w:hAnsi="Times New Roman"/>
                <w:sz w:val="15"/>
                <w:szCs w:val="15"/>
                <w:color w:val="auto"/>
              </w:rPr>
              <w:t>977,168</w:t>
            </w:r>
          </w:p>
        </w:tc>
        <w:tc>
          <w:tcPr>
            <w:tcW w:w="60" w:type="dxa"/>
            <w:vAlign w:val="bottom"/>
          </w:tcPr>
          <w:p>
            <w:pPr>
              <w:spacing w:after="0"/>
              <w:rPr>
                <w:sz w:val="24"/>
                <w:szCs w:val="24"/>
                <w:color w:val="auto"/>
              </w:rPr>
            </w:pPr>
          </w:p>
        </w:tc>
        <w:tc>
          <w:tcPr>
            <w:tcW w:w="98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123825</wp:posOffset>
            </wp:positionV>
            <wp:extent cx="7569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756920" cy="7620"/>
                    </a:xfrm>
                    <a:prstGeom prst="rect">
                      <a:avLst/>
                    </a:prstGeom>
                    <a:noFill/>
                  </pic:spPr>
                </pic:pic>
              </a:graphicData>
            </a:graphic>
          </wp:anchor>
        </w:drawing>
      </w:r>
    </w:p>
    <w:p>
      <w:pPr>
        <w:spacing w:after="0" w:line="217" w:lineRule="exact"/>
        <w:rPr>
          <w:sz w:val="20"/>
          <w:szCs w:val="20"/>
          <w:color w:val="auto"/>
        </w:rPr>
      </w:pPr>
    </w:p>
    <w:p>
      <w:pPr>
        <w:ind w:left="1040" w:hanging="410"/>
        <w:spacing w:after="0"/>
        <w:tabs>
          <w:tab w:leader="none" w:pos="10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beneficial ownership of less than 1% of our outstanding common shares as of the date of this prospectus supplement.</w:t>
      </w:r>
    </w:p>
    <w:p>
      <w:pPr>
        <w:spacing w:after="0" w:line="37" w:lineRule="exact"/>
        <w:rPr>
          <w:sz w:val="20"/>
          <w:szCs w:val="20"/>
          <w:color w:val="auto"/>
        </w:rPr>
      </w:pPr>
    </w:p>
    <w:p>
      <w:pPr>
        <w:ind w:left="1040" w:right="639" w:hanging="410"/>
        <w:spacing w:after="0" w:line="255" w:lineRule="auto"/>
        <w:tabs>
          <w:tab w:leader="none" w:pos="10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applicable, this column may reflect common shares beneficially owned by a selling securityholder that are registered for resale pursuant to this prospectus supplement on behalf of a different selling securityholder, who is the record holder of such common shares.</w:t>
      </w:r>
    </w:p>
    <w:p>
      <w:pPr>
        <w:spacing w:after="0" w:line="5" w:lineRule="exact"/>
        <w:rPr>
          <w:sz w:val="20"/>
          <w:szCs w:val="20"/>
          <w:color w:val="auto"/>
        </w:rPr>
      </w:pPr>
    </w:p>
    <w:p>
      <w:pPr>
        <w:ind w:left="1040" w:hanging="410"/>
        <w:spacing w:after="0"/>
        <w:tabs>
          <w:tab w:leader="none" w:pos="10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9,870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41,639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136,227 common shares received by such selling securityholder in connection with the SPA.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414,294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16,450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99,378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28" w:lineRule="auto"/>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1,645,064 common shares received by such selling securityholder in connection with the SPA and (ii) 5,434,782 common shares otherwise held by such selling securityholder. Bob Atchinson and Phillip Gross are the managing members of Adage Capital Advisors, L.L.C., which is the managing member of Adage Capital Partners GP, L.L.C., which is the general partner of Adage Capital Partners LP (“Adage”), and each such person or entity, as the case may be, has shared voting and/or investment power over the securities held by Adage and may be deemed the beneficial owner of such shares, and each such person or entity, as the case may be, disclaims beneficial ownership of such securities except to the extent of their respective pecuniary interest therein.</w:t>
      </w:r>
    </w:p>
    <w:p>
      <w:pPr>
        <w:spacing w:after="0" w:line="17"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149,108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24,675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5,433common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116,224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18,331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466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384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23" w:lineRule="auto"/>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on the Schedule 13D/A jointly filed with the SEC on October 20, 2025 by Apeiron Investment Group Ltd. (“Apeiron”), Apeiron Presight Capital Fund II, L.P. (“Presight II”), Presight Capital Management I, L.L.C. (“Presight Management”), Fabien Hansen and Christian Angermayer. As of October 20, 2025, Apeiron and Mr. Angermayer reported shared voting and dispositive power over 55,211,716 common shares, and Presight II and Fabian Hansen reported shared voting and dispositive power over 1,799,302 common shares. Presight II is the record holder of 1,799,302 common shares. Apeiron and Mr. Hansen are the managing members of Presight Management, which is the general partner of Presight II. As a result, each of Apeiron, Mr. Hansen and Presight Management may be deemed to share beneficial ownership of the securities held by Presight II. Apeiron is the record holder of 53,412,414 Ordinary Shares which includes 2,367,200 Ordinary Shares issued to Apeiron upon the conversion of the previously disclosed convertible promissory notes. Mr. Angermayer is the majority shareholder of Apeiron and may be deemed to share beneficial ownership of the securities beneficially owned by Apeiron. In addition, Mr. Angermayer may be deemed to beneficially own 1,339,663 common shares underlying stock options that are currently vested and exercisable as of the date of this prospectus supplement. The principal business address for Apeiron, and Mr. Angermayer is 66 &amp; 67, Amery Street, SLM1707, Sliema, Malta. The principal business address for Presight II, Presight Management and Mr. Hansen is 440 N Barranca Ave #3391 Covina, California 91723.</w:t>
      </w:r>
    </w:p>
    <w:p>
      <w:pPr>
        <w:spacing w:after="0" w:line="19"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312,695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658,026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16,450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305,802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244,292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77,922 common shares received by such selling securityholder in connection with the SPA. Greg Kubin is the Fund Lead of, and may be deemed the beneficial owner of the securities held by, BEC Fund I a series of Psychedelic Medicine SPV LP, and disclaims beneficial ownership except to the extent of his pecuniary interest therein.</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7,861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2,268,875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62,538 common shares received by such selling securityholder in connection with the SPA. Stephen Ainsworth, Michael McKay, Anna Grat, Debra Smith, John Martin and Margaret Boucher are Directors of BWCI Pension Trustees Limited as Trustee of the Deferred Retirement Annuity Trust Scheme ref a/c 1123/055 and each such person and may be deemed the beneficial owner of such shares and disclaims beneficial ownership except to the extent of their respective pecuniary interest therein.</w:t>
      </w:r>
    </w:p>
    <w:p>
      <w:pPr>
        <w:spacing w:after="0" w:line="1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8,225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195,433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126,380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456,011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46,489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526,420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59" w:hanging="410"/>
        <w:spacing w:after="0" w:line="238" w:lineRule="auto"/>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 common shares received by such selling securityholder in connection with the SPA. Cory Levi is a Director of, and may be deemed the beneficial owner of securities held by, CORLEV Holdings Inc. and disclaims beneficial ownership except to the extent of his pecuniary interest therein.</w:t>
      </w:r>
    </w:p>
    <w:p>
      <w:pPr>
        <w:spacing w:after="0" w:line="14"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6,967,861 common shares received by such selling securityholder in connection with the SPA. Cosmo Feilding-Mellen is an Executor of the Estate of Amanda Feilding and may be deemed the beneficial owner of the securities owned by such entity and included elsewhere herein. Cosmo Feilding-Mellen is a director of Atai Beckley N.V.</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32,572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41,640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65,802 common shares received by such selling securityholder in connection with the SPA.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51,191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76,991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658,026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23,452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155,634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204,067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115,154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40,986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31,269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7,861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41,127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5,535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325,722 common shares received by such selling securityholder in connection with the SPA and (ii) 10,019 common shares otherwise held by such selling securityholder. Rock Feilding-Mellen and Cosmo Feilding-Mellen are each Executors of the Estate of Amanda Feilding and may be deemed the beneficial owner of such shares, and each such person or entity, as the case may be, disclaims beneficial ownership of such securities except to the extent of their respective pecuniary interest therein.</w:t>
      </w:r>
    </w:p>
    <w:p>
      <w:pPr>
        <w:spacing w:after="0" w:line="15" w:lineRule="exact"/>
        <w:rPr>
          <w:rFonts w:ascii="Times New Roman" w:cs="Times New Roman" w:eastAsia="Times New Roman" w:hAnsi="Times New Roman"/>
          <w:sz w:val="13"/>
          <w:szCs w:val="13"/>
          <w:color w:val="auto"/>
        </w:rPr>
      </w:pPr>
    </w:p>
    <w:p>
      <w:pPr>
        <w:jc w:val="both"/>
        <w:ind w:left="1040" w:right="659" w:hanging="410"/>
        <w:spacing w:after="0" w:line="238" w:lineRule="auto"/>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18,359 common shares received by such selling securityholder in connection with the SPA. Feriha Berrak Selek is the owner of Selkogen EOOD, a sole owned limited liability company organized under the laws of Bulgaria. Selkogen EOOD received 219,802 common shares in connection with the SPA.</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93,808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74,698 common shares received by such selling securityholder in connection with the SPA. Anthony Matthew Chow is the beneficiary of First Asia-Pacific Retirement Fund- AM Chow Sub Fund and may be deemed the beneficial owner of such shares, and disclaims beneficial ownership of such securities except to the extent of his pecuniary interest therein.</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20,563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61,689 common shares received by such selling securityholder in connection with the SPA. Jose Marin and Fabrice Grinda are each Directors of FJ Labs LLC and may be deemed the beneficial owner of such shares, and each such person or entity, as the case may be, disclaims beneficial ownership of such securities except to the extent of their respective pecuniary interest therein.</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156,346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0" w:lineRule="auto"/>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2,109,745 common shares received by such selling securityholder in connection with the SPA. Denham Eke is the Director of Galloway Limited and may be deemed the beneficial owner of such shares, and each such person or entity, as the case may be, disclaims beneficial ownership of such securities except to the extent of their respective pecuniary interest therein. Denham Eke is also a Director of Mediq Ventures Limited, a limited company organized under the laws of the British Virgin Islands. Mediq Ventures Limited received 3,518,444 in connection with the SPA.</w:t>
      </w:r>
    </w:p>
    <w:p>
      <w:pPr>
        <w:spacing w:after="0" w:line="1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54,769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39,086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102,472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49,774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48,957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947,429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329,012 common shares received by such selling securityholder in connection with the SPA. James M. Walton and Azita Ardakani are each Managers of Harvest Moon Holdings LLC and may be deemed the beneficial owner of such shares, and each such person or entity, as the case may be, disclaims beneficial ownership of such securities except to the extent of their respective pecuniary interest therein.</w:t>
      </w:r>
    </w:p>
    <w:p>
      <w:pPr>
        <w:spacing w:after="0" w:line="1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9,800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3,632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right="639" w:hanging="410"/>
        <w:spacing w:after="0" w:line="255" w:lineRule="auto"/>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2,905 common shares received by such selling securityholder in connection with the SPA and (ii) 3,011 common shares otherwise held by such selling securityholder.</w:t>
      </w:r>
    </w:p>
    <w:p>
      <w:pPr>
        <w:spacing w:after="0" w:line="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27,893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130,289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49,352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65,802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2,850,966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2,983,112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8,389,828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219,968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2,174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49,352 common shares received by such selling securityholder in connection with the SPA.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15,289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85,990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54,721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30,573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right="639" w:hanging="410"/>
        <w:spacing w:after="0" w:line="255" w:lineRule="auto"/>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265,505 common shares received by such selling securityholder in connection with the SPA and (ii) 4,393 common shares otherwise held by such selling securityholder.</w:t>
      </w:r>
    </w:p>
    <w:p>
      <w:pPr>
        <w:spacing w:after="0" w:line="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15,289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49,509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22,110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253,339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352,124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15,724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73,483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262,664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325,722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82,252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65,144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37,641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right="639" w:hanging="410"/>
        <w:spacing w:after="0" w:line="255" w:lineRule="auto"/>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757,678 common shares received by such selling securityholder in connection with the SPA and (ii) 421,040 common shares otherwise held by such selling securityholder.</w:t>
      </w:r>
    </w:p>
    <w:p>
      <w:pPr>
        <w:spacing w:after="0" w:line="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5,535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82,252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23,452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41,640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7,750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51,131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7,861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140,712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105,302 common shares received by such selling securityholder in connection with the SPA. Mark Moran is Trustee of EEMO 2021 Grant. EEMO 2021 Grant received 58,187 common shares in connection with the SPA. Mark Moran is married to Melissa Moran. Melissa Moran is Trustee of The 21 Spousal GRAT. The 21 Spousal GRAT received 58,187 common shares in connection with the SPA. Mark and Melissa Moran may act together in acquiring, holding or disposing of securities of the Company.</w:t>
      </w:r>
    </w:p>
    <w:p>
      <w:pPr>
        <w:spacing w:after="0" w:line="15" w:lineRule="exact"/>
        <w:rPr>
          <w:rFonts w:ascii="Times New Roman" w:cs="Times New Roman" w:eastAsia="Times New Roman" w:hAnsi="Times New Roman"/>
          <w:sz w:val="13"/>
          <w:szCs w:val="13"/>
          <w:color w:val="auto"/>
        </w:rPr>
      </w:pPr>
    </w:p>
    <w:p>
      <w:pPr>
        <w:jc w:val="both"/>
        <w:ind w:left="1040" w:right="639" w:hanging="410"/>
        <w:spacing w:after="0" w:line="228" w:lineRule="auto"/>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58,187 common shares received by such selling securityholder in connection with the SPA. Mark Moran is Trustee of EEMO 2021 Grant. Mark Moran received 105,302 common shares in connection with the SPA. Mark Moran is married to Melissa Moran. Melissa Moran is Trustee of The 21 Spousal GRAT. The 21 Spousal GRAT received 58,187 common shares in connection with the SPA. Mark and Melissa Moran may act together in acquiring, holding or disposing of securities of the Company. Mark Moran, as Trustee of EEMO 2021 Grant, may be deemed the beneficial owner of such shares, and disclaims beneficial ownership of such securities except to the extent of his pecuniary interest therein.</w:t>
      </w:r>
    </w:p>
    <w:p>
      <w:pPr>
        <w:spacing w:after="0" w:line="17"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1,824,047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92,979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3,631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130,289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0" w:lineRule="auto"/>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3,518,444 common shares received by such selling securityholder in connection with the SPA. Denham Eke is a Director of Mediq Ventures Limited and may be deemed the beneficial owner of such shares, and each such person or entity, as the case may be, disclaims beneficial ownership of such securities except to the extent of their respective pecuniary interest therein. Denham Eke is also a Director of Galloway Limited, a limited company organized under the laws of the British Virgin Islands. Galloway Limited received 2,109,745 in connection with the SPA.</w:t>
      </w:r>
    </w:p>
    <w:p>
      <w:pPr>
        <w:spacing w:after="0" w:line="1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7,263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58,187 common shares received by such selling securityholder in connection with the SPA. Melissa Moran is the Trustee of The 21 Spousal GRAT. Melissa Moran is married to Mark Moran. Mark Moran is Trustee of EEMO 2021 Grant. EEMO 2021 Grant received 58,187 common shares in connection with the SPA and Mark Moran received 105,302 common shares in connection with the SPA. Mark and Melissa Moran may act together in acquiring, holding or disposing of securities of the Company.</w:t>
      </w:r>
    </w:p>
    <w:p>
      <w:pPr>
        <w:spacing w:after="0" w:line="1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19,543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30,573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109,442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right="639" w:hanging="410"/>
        <w:spacing w:after="0" w:line="255" w:lineRule="auto"/>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1,302,891 common shares received by such selling securityholder in connection with the SPA and (ii) 498,388 common shares otherwise held by such selling securityholder.</w:t>
      </w:r>
    </w:p>
    <w:p>
      <w:pPr>
        <w:spacing w:after="0" w:line="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181,839 common shares received by such selling securityholder in connection with the SPA.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13,947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211,214 common shares received by such selling securityholder in connection with the SPA. Jeffrey A. Morse is the Trustee of, and may be deemed the beneficial owner of securities held by, MMRAAB Management Trust and disclaims beneficial ownership except to the extent of his pecuniary interest therein.</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394,947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542,439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5,535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559,322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658,026 common shares received by such selling securityholder in connection with the SPA. Vadim Uzberg and Stuart Seidman are each Directors of Negev Capital Fund One L.P. and may be deemed the beneficial owner of such shares, and each such person or entity, as the case may be, disclaims beneficial ownership of such securities except to the extent of their respective pecuniary interest therein.</w:t>
      </w:r>
    </w:p>
    <w:p>
      <w:pPr>
        <w:spacing w:after="0" w:line="147"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52,115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1,442,481 common shares received by such selling securityholder in connection with the SPA. Noah G Levy is the Managing Member of Newtyn Management, LLC, the investment manager of Newtyn Partners LP, and as such, may be deemed the beneficial owner of such shares, and each such person or entity, as the case may be, disclaims beneficial ownership of such securities except to the extent of their respective pecuniary interest therein.</w:t>
      </w:r>
    </w:p>
    <w:p>
      <w:pPr>
        <w:spacing w:after="0" w:line="15" w:lineRule="exact"/>
        <w:rPr>
          <w:rFonts w:ascii="Times New Roman" w:cs="Times New Roman" w:eastAsia="Times New Roman" w:hAnsi="Times New Roman"/>
          <w:sz w:val="13"/>
          <w:szCs w:val="13"/>
          <w:color w:val="auto"/>
        </w:rPr>
      </w:pPr>
    </w:p>
    <w:p>
      <w:pPr>
        <w:jc w:val="both"/>
        <w:ind w:left="1040" w:right="659" w:hanging="410"/>
        <w:spacing w:after="0" w:line="233"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933,117 common shares received by such selling securityholder in connection with the SPA. Noah G Levy is the Managing Member of Newtyn Management, LLC, the investment manager of Newtyn TE Partners LP, and as such, may be deemed the beneficial owner of such shares, and each such person or entity, as the case may be, disclaims beneficial ownership of such securities except to the extent of their respective pecuniary interest therein.</w:t>
      </w:r>
    </w:p>
    <w:p>
      <w:pPr>
        <w:spacing w:after="0" w:line="1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right="639" w:hanging="410"/>
        <w:spacing w:after="0" w:line="255"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208,075 common shares received by such selling securityholder in connection with the SPA and (ii) 13,719 common shares otherwise held by such selling securityholder.</w:t>
      </w:r>
    </w:p>
    <w:p>
      <w:pPr>
        <w:spacing w:after="0" w:line="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1,249,092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950,530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35,889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493,519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17,433 common shares received by such selling securityholder in connection with the SPA. Oliver Cox is a Director of Oliver Cox Ltd. Oliver Cox Ltd. is a limited company organized under the laws of the United Kingdom. Oliver Cox Ltd. received 27,149 common shares in connection with the SPA. Oliver Cox is married to Rachael Cox. Rachael Cox received 17,433 common shares in connection with the SPA.</w:t>
      </w:r>
    </w:p>
    <w:p>
      <w:pPr>
        <w:spacing w:after="0" w:line="15"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27,149 common shares received by such selling securityholder in connection with the SPA. Oliver Cox is a Director of Oliver Cox Ltd. Oliver Cox received 17,433 common shares in connection with the SPA. Oliver Cox is married to Rachael Cox. Rachael Cox received 17,433 common shares in connection with the SPA.</w:t>
      </w:r>
    </w:p>
    <w:p>
      <w:pPr>
        <w:spacing w:after="0" w:line="14" w:lineRule="exact"/>
        <w:rPr>
          <w:rFonts w:ascii="Times New Roman" w:cs="Times New Roman" w:eastAsia="Times New Roman" w:hAnsi="Times New Roman"/>
          <w:sz w:val="13"/>
          <w:szCs w:val="13"/>
          <w:color w:val="auto"/>
        </w:rPr>
      </w:pPr>
    </w:p>
    <w:p>
      <w:pPr>
        <w:jc w:val="both"/>
        <w:ind w:left="1040" w:right="639" w:hanging="410"/>
        <w:spacing w:after="0" w:line="230"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745,777 common shares received by such selling securityholder in connection with the SPA. Abdulaziz Shikh Al Sagha and Mohamed Amir A Abughazaleh are each Directors of OV BP Limited and may be deemed the beneficial owner of such shares, and each such person or entity, as the case may be, disclaims beneficial ownership of such securities except to the extent of their respective pecuniary interest therein. Abdulaziz Shikh Al Sagha and Mohamed Amir A Abughazaleh are each also Directors of OV BP Series B Limited. OV BP Series B Limited received 552,741 common shares in connection with the SPA.</w:t>
      </w:r>
    </w:p>
    <w:p>
      <w:pPr>
        <w:spacing w:after="0" w:line="16" w:lineRule="exact"/>
        <w:rPr>
          <w:rFonts w:ascii="Times New Roman" w:cs="Times New Roman" w:eastAsia="Times New Roman" w:hAnsi="Times New Roman"/>
          <w:sz w:val="13"/>
          <w:szCs w:val="13"/>
          <w:color w:val="auto"/>
        </w:rPr>
      </w:pPr>
    </w:p>
    <w:p>
      <w:pPr>
        <w:jc w:val="both"/>
        <w:ind w:left="1040" w:right="639" w:hanging="410"/>
        <w:spacing w:after="0" w:line="230"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552,741 common shares received by such selling securityholder in connection with the SPA. Abdulaziz Shikh Al Sagha and Mohamed Amir A Abughazaleh are each Directors of OV BP Series B Limited and may be deemed the beneficial owner of such shares, and each such person or entity, as the case may be, disclaims beneficial ownership of such securities except to the extent of their respective pecuniary interest therein. Abdulaziz Shikh Al Sagha and Mohamed Amir A Abughazaleh are each also Directors of OV BP Limited. OV BP Limited received 745,777 common shares in connection with the SPA.</w:t>
      </w:r>
    </w:p>
    <w:p>
      <w:pPr>
        <w:spacing w:after="0" w:line="1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5,142 common shares received by such selling securityholder in connection with the SPA. </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15,289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39,086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329,568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799,723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85,990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26,887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33,347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1,990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95,002 common shares received by such selling securityholder in connection with the SPA. Matthew Pinz is the Managing Member of Pinz Family LLC. Matthew Pinz is also the Managing Member of ZSP Capital LLC. ZSP Capital LLC received 56,284 common shares in connection with the SPA.</w:t>
      </w:r>
    </w:p>
    <w:p>
      <w:pPr>
        <w:spacing w:after="0" w:line="14"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23,599 common shares received by such selling securityholder in connection with the SPA. Graham Gerlach and Derek Scarth are each Managing Members of Ponies and Rainbows LLC and may be deemed the beneficial owner of such shares, and each such person or entity, as the case may be, disclaims beneficial ownership of such securities except to the extent of their respective pecuniary interest therein.</w:t>
      </w:r>
    </w:p>
    <w:p>
      <w:pPr>
        <w:spacing w:after="0" w:line="1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524,713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39,086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right="659" w:hanging="410"/>
        <w:spacing w:after="0" w:line="255" w:lineRule="auto"/>
        <w:tabs>
          <w:tab w:leader="none" w:pos="10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17,433 common shares received by such selling securityholder in connection with the SPA. Rachael Cox is married to Oliver Cox. Oliver Cox received 17,433 common shares in connection with the SPA.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24,675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234,521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81,972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30,581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87,623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15,634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350,110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9,541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58,630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right="639" w:hanging="410"/>
        <w:spacing w:after="0" w:line="255" w:lineRule="auto"/>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5,522,501 common shares received by such selling securityholder in connection with the SPA and (ii) 12,524 common shares otherwise held by such selling securityholder.</w:t>
      </w:r>
    </w:p>
    <w:p>
      <w:pPr>
        <w:spacing w:after="0" w:line="5" w:lineRule="exact"/>
        <w:rPr>
          <w:rFonts w:ascii="Times New Roman" w:cs="Times New Roman" w:eastAsia="Times New Roman" w:hAnsi="Times New Roman"/>
          <w:sz w:val="13"/>
          <w:szCs w:val="13"/>
          <w:color w:val="auto"/>
        </w:rPr>
      </w:pPr>
    </w:p>
    <w:p>
      <w:pPr>
        <w:ind w:left="1040" w:right="639" w:hanging="410"/>
        <w:spacing w:after="0" w:line="255" w:lineRule="auto"/>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132,992 common shares received by such selling securityholder in connection with the SPA and (ii) 5,650 common shares otherwise held by such selling securityholder.</w:t>
      </w:r>
    </w:p>
    <w:p>
      <w:pPr>
        <w:spacing w:after="0" w:line="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19,741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49,268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31,033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48,957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26,057 common shares received by such selling securityholder in connection with the SPA. James Longshore is the CEO and Director of Sausilito Ltd. James Longshore is also the CEO and Director of Xtra-Gold Resources Corp. Xtra-Gold Resources Corp. received 60,278 common shares in connection with the SPA.</w:t>
      </w:r>
    </w:p>
    <w:p>
      <w:pPr>
        <w:spacing w:after="0" w:line="14"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16,450 common shares received by such selling securityholder in connection with the SPA. Michael Colwill is Trustee of Scion Clan Trust and may be deemed the beneficial owner of such shares, and each such person or entity, as the case may be, disclaims beneficial ownership of such securities except to the extent of their respective pecuniary interest therein. Kathleen Pompura and Eliza Birdsall are each discretionary beneficiaries of Scion Clan Trust.</w:t>
      </w:r>
    </w:p>
    <w:p>
      <w:pPr>
        <w:spacing w:after="0" w:line="1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32,901common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89,995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219,802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46,489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156,346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7,326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16,450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59"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520,391 common shares received by such selling securityholder in connection with the SPA. Dino Colonna and Scott Gordon are each Managers of Silver Spike Sponsor II, LLC and may be deemed the beneficial owner of such shares, and each such person or entity, as the case may be, disclaims beneficial ownership of such securities except to the extent of their respective pecuniary interest therein.</w:t>
      </w:r>
    </w:p>
    <w:p>
      <w:pPr>
        <w:spacing w:after="0" w:line="147"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109,442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34,866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32,052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109,442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498,101 common shares received by such selling securityholder in connection with the SPA. Wilhelmus Adrianus Woestenburg is a Director of Tatewari Ltd and may be deemed the beneficial owner of such shares, and each such person or entity, as the case may be, disclaims beneficial ownership of such securities except to the extent of their respective pecuniary interest therein.</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1,396,335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16,450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76,447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15,724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156,346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15,724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1,036,556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right="639" w:hanging="410"/>
        <w:spacing w:after="0" w:line="255" w:lineRule="auto"/>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1,302,891 common shares received by such selling securityholder in connection with the SPA and (ii) 461,744 RSUs otherwise held by such selling securityholder.</w:t>
      </w:r>
    </w:p>
    <w:p>
      <w:pPr>
        <w:spacing w:after="0" w:line="5"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15,289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46,489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305,802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83,279 common shares received by such selling securityholder in connection with the SPA. Jonathan Bixby is a Managing Partner of Toro Consulting Ltd and may be deemed the beneficial owner of such shares, and each such person or entity, as the case may be, disclaims beneficial ownership of such securities except to the extent of their respective pecuniary interest therein.</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64,171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1,443,225 common shares received by such selling securityholder in connection with the SPA.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191,695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9,297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243,902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1,193,119 common shares received by such selling securityholder in connection with the SPA. Michael Cam-Phung is a Manager of Vice Capital LLC and may be deemed the beneficial owner of such shares, and each such person or entity, as the case may be, disclaims beneficial ownership of such securities except to the extent of their respective pecuniary interest therein.</w:t>
      </w:r>
    </w:p>
    <w:p>
      <w:pPr>
        <w:spacing w:after="0" w:line="14" w:lineRule="exact"/>
        <w:rPr>
          <w:rFonts w:ascii="Times New Roman" w:cs="Times New Roman" w:eastAsia="Times New Roman" w:hAnsi="Times New Roman"/>
          <w:sz w:val="13"/>
          <w:szCs w:val="13"/>
          <w:color w:val="auto"/>
        </w:rPr>
      </w:pPr>
    </w:p>
    <w:p>
      <w:pPr>
        <w:jc w:val="both"/>
        <w:ind w:left="1040" w:right="659" w:hanging="410"/>
        <w:spacing w:after="0" w:line="238" w:lineRule="auto"/>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23,452 common shares received by such selling securityholder in connection with the SPA. Ross Simon is a Director of Vinsco PTY Ltd atf the Vinsco Investment Trust and may be deemed the beneficial owner of such shares, and each such person or entity, as the case may be, disclaims beneficial ownership of such securities except to the extent of their respective pecuniary interest therein.</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23,244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609,079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329,317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3,126,951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3" w:lineRule="auto"/>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1,489,115 common shares received by such selling securityholder in connection with the SPA. Nicholas von Christierson and Giles Hayward are each Directors of Woven Labs LLC and may be deemed the beneficial owner of such shares, and each such person or entity, as the case may be, disclaims beneficial ownership of such securities except to the extent of their respective pecuniary interest therein.</w:t>
      </w:r>
    </w:p>
    <w:p>
      <w:pPr>
        <w:spacing w:after="0" w:line="15"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60,278 common shares received by such selling securityholder in connection with the SPA. James Longshore is the CEO and Director of Xtra-Gold Resources Corp. James Longshore is also the CEO and Director of Sausilito Ltd. Sausilito Ltd. received 26,057 common shares in connection with the SPA.</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40,931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56,284 common shares received by such selling securityholder in connection with the SPA. Matthew Pinz is the Managing Member of ZSP Capital LLC. Matthew Pinz is also the Managing Member of Pinz Family LLC. Pinz Family LLC received 95,002 of common shares in connection with the SPA.</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16,450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111,746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6,580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jc w:val="both"/>
        <w:ind w:left="1040" w:right="639" w:hanging="410"/>
        <w:spacing w:after="0" w:line="238" w:lineRule="auto"/>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9,870 common shares received by such selling securityholder in connection with the SPA. Anthony Byrne is a Managing Director, and may be deemed the beneficial owner of securities held by, Wealth And Tax Group Limited and disclaims beneficial ownership except to the extent of his pecuniary interest therein.</w:t>
      </w:r>
    </w:p>
    <w:p>
      <w:pPr>
        <w:spacing w:after="0" w:line="14"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39,086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5,535 common shares received by such selling securityholder in connection with the SPA.</w:t>
      </w:r>
    </w:p>
    <w:p>
      <w:pPr>
        <w:spacing w:after="0" w:line="36" w:lineRule="exact"/>
        <w:rPr>
          <w:rFonts w:ascii="Times New Roman" w:cs="Times New Roman" w:eastAsia="Times New Roman" w:hAnsi="Times New Roman"/>
          <w:sz w:val="13"/>
          <w:szCs w:val="13"/>
          <w:color w:val="auto"/>
        </w:rPr>
      </w:pPr>
    </w:p>
    <w:p>
      <w:pPr>
        <w:ind w:left="1040" w:hanging="410"/>
        <w:spacing w:after="0"/>
        <w:tabs>
          <w:tab w:leader="none" w:pos="10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977,168 common shares received by such selling securityholder in connection with the SPA.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0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The selling securityholders, including such selling securityholders’ respective donees, pledgees, transferees, assignees, designees, distributees or other successors-in-interest selling our common shares or interests in our common shares received after the date of this prospectus supplement from such selling securityholders as a gift, pledge, partnership distribution or other transfer other than through a public sale, may sell the offered securities from time to time, separately or together, covered by this prospectus supplement. Registration of the securities covered by this prospectus supplement does not mean, however, that those securities necessarily will be offered or sold. To the extent required, this prospectus supplement may be amended or supplemented from time to time to describe a specific plan of distribution.</w:t>
      </w:r>
    </w:p>
    <w:p>
      <w:pPr>
        <w:spacing w:after="0" w:line="79"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The securities covered by this prospectus supplement may be sold from time to time, at market prices prevailing at the time of sale, at prices related to market prices, at a fixed price or prices subject to change or at negotiated prices, by a variety of methods including, but not limited to, the following:</w:t>
      </w:r>
    </w:p>
    <w:p>
      <w:pPr>
        <w:spacing w:after="0" w:line="70" w:lineRule="exact"/>
        <w:rPr>
          <w:sz w:val="20"/>
          <w:szCs w:val="20"/>
          <w:color w:val="auto"/>
        </w:rPr>
      </w:pPr>
    </w:p>
    <w:p>
      <w:pPr>
        <w:ind w:left="1280" w:right="659" w:hanging="319"/>
        <w:spacing w:after="0" w:line="268"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national securities exchange on which our common shares may be listed at the time of sale, including the Nasdaq Global Market (including through “at-the-market” offerings);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over-the-counter market;</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broker-dealers, who may act as agents or principals;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one or more underwriters on a firm commitment or best-efforts basis;</w:t>
      </w:r>
    </w:p>
    <w:p>
      <w:pPr>
        <w:spacing w:after="0" w:line="102"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block trade in which a broker-dealer may attempt to sell a block of common shares as agent or may position and resell all or a portion of the block as principal to facilitate the transaction;</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put or call option transactions relating to our common shares;</w:t>
      </w:r>
    </w:p>
    <w:p>
      <w:pPr>
        <w:spacing w:after="0" w:line="102"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through an options exchange or otherwise, and/or the settlement of margin transactions;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one or more purchasers;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loans or pledges of our common shares, including to a broker-dealer or an affiliate thereof; or</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these methods of sale or by any other legally available means.</w:t>
      </w:r>
    </w:p>
    <w:p>
      <w:pPr>
        <w:spacing w:after="0" w:line="103" w:lineRule="exact"/>
        <w:rPr>
          <w:sz w:val="20"/>
          <w:szCs w:val="20"/>
          <w:color w:val="auto"/>
        </w:rPr>
      </w:pPr>
    </w:p>
    <w:p>
      <w:pPr>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In effecting sales, brokers or dealers engaged the selling securityholders may arrange for other brokers or dealers to participate. Broker/dealer transactions may include:</w:t>
      </w:r>
    </w:p>
    <w:p>
      <w:pPr>
        <w:spacing w:after="0" w:line="60" w:lineRule="exact"/>
        <w:rPr>
          <w:sz w:val="20"/>
          <w:szCs w:val="20"/>
          <w:color w:val="auto"/>
        </w:rPr>
      </w:pPr>
    </w:p>
    <w:p>
      <w:pPr>
        <w:ind w:left="1280" w:right="659" w:hanging="319"/>
        <w:spacing w:after="0" w:line="268"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of our common shares by a broker-dealer as principal and resales of our common shares by the broker-dealer for its account pursuant to this prospectus supplement;</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or</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in which the broker/dealer solicits purchasers on a best efforts basis.</w:t>
      </w:r>
    </w:p>
    <w:p>
      <w:pPr>
        <w:spacing w:after="0" w:line="103"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To the extent required, this prospectus supplement may be amended or supplemented from time to time to describe a specific plan of distribution, and, if required, such amendment or supplement will set forth the aggregate amount of common shares covered by this prospectus supplement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prospectus supplement. To the extent required, any such amendment or supplement to this prospectus supplement, and, if necessary, a post-effective amendment to the registration statement of which this prospectus supplement is a part, will be filed with the SEC to reflect the disclosure of additional information with respect to the distribution of the common shares covered by this prospectus supplement.</w:t>
      </w:r>
    </w:p>
    <w:p>
      <w:pPr>
        <w:spacing w:after="0" w:line="82"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If the selling securityholders utilize a dealer in the sale of the securities being offered pursuant to this prospectus supplement, the selling securityholders will sell the securities to the dealer, as principal. The dealer may then resell the securities to the public at varying prices to be determined by the dealer at the time of resale. The selling securityholders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spacing w:after="0" w:line="269" w:lineRule="auto"/>
        <w:rPr>
          <w:sz w:val="20"/>
          <w:szCs w:val="20"/>
          <w:color w:val="auto"/>
        </w:rPr>
      </w:pPr>
      <w:r>
        <w:rPr>
          <w:rFonts w:ascii="Times New Roman" w:cs="Times New Roman" w:eastAsia="Times New Roman" w:hAnsi="Times New Roman"/>
          <w:sz w:val="16"/>
          <w:szCs w:val="16"/>
          <w:color w:val="auto"/>
        </w:rPr>
        <w:t>may also authorize agents or underwriters to solicit offers by certain types of institutional investors to purchase securities at the public offering price set forth in an amendment or supplement to this prospectus supplement pursuant to delayed delivery contracts providing for payment and delivery on a specified date in the future. To the extent required, the conditions to these contracts and the commission that the selling securityholders must pay for solicitation of these contracts will be described in an amendment or supplement to this prospectus supplement.</w:t>
      </w:r>
    </w:p>
    <w:p>
      <w:pPr>
        <w:spacing w:after="0" w:line="62" w:lineRule="exact"/>
        <w:rPr>
          <w:sz w:val="20"/>
          <w:szCs w:val="20"/>
          <w:color w:val="auto"/>
        </w:rPr>
      </w:pPr>
    </w:p>
    <w:p>
      <w:pPr>
        <w:jc w:val="both"/>
        <w:ind w:left="640" w:right="639" w:firstLine="331"/>
        <w:spacing w:after="0" w:line="267" w:lineRule="auto"/>
        <w:rPr>
          <w:sz w:val="20"/>
          <w:szCs w:val="20"/>
          <w:color w:val="auto"/>
        </w:rPr>
      </w:pPr>
      <w:r>
        <w:rPr>
          <w:rFonts w:ascii="Times New Roman" w:cs="Times New Roman" w:eastAsia="Times New Roman" w:hAnsi="Times New Roman"/>
          <w:sz w:val="16"/>
          <w:szCs w:val="16"/>
          <w:color w:val="auto"/>
        </w:rPr>
        <w:t>The selling securityholders may, from time to time, pledge or grant a security interest in some of the common shares owned by them and, if a selling securityholder defaults in the performance of its secured obligations, the pledgees or secured parties may offer and sell such common shares, as applicable, from time to time, under this prospectus supplement, or under an amendment or supplement to this prospectus supplement. The selling securityholders also may transfer our common shares in other circumstances, in which case the transferees, pledgees or other successors-in-interest will be the selling beneficial owners for purposes of this prospectus supplement.</w:t>
      </w:r>
    </w:p>
    <w:p>
      <w:pPr>
        <w:spacing w:after="0" w:line="63" w:lineRule="exact"/>
        <w:rPr>
          <w:sz w:val="20"/>
          <w:szCs w:val="20"/>
          <w:color w:val="auto"/>
        </w:rPr>
      </w:pPr>
    </w:p>
    <w:p>
      <w:pPr>
        <w:jc w:val="both"/>
        <w:ind w:left="640" w:right="639" w:firstLine="331"/>
        <w:spacing w:after="0" w:line="264" w:lineRule="auto"/>
        <w:rPr>
          <w:sz w:val="20"/>
          <w:szCs w:val="20"/>
          <w:color w:val="auto"/>
        </w:rPr>
      </w:pPr>
      <w:r>
        <w:rPr>
          <w:rFonts w:ascii="Times New Roman" w:cs="Times New Roman" w:eastAsia="Times New Roman" w:hAnsi="Times New Roman"/>
          <w:sz w:val="16"/>
          <w:szCs w:val="16"/>
          <w:color w:val="auto"/>
        </w:rPr>
        <w:t>In connection with the sale of common shares or interests therein, the selling securityholders may enter into hedging transactions with broker-dealers or other financial institutions, which may in turn engage in short sales of our common shares in the course of hedging the positions they assume. The selling securityholders may also sell common shares short and deliver these securities to close out their short positions, or loan or pledge common shares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the common shares offered by this prospectus supplement, which common shares such broker-dealer or other financial institution may resell pursuant to this prospectus supplement (as supplemented or amended to reflect such transaction).</w:t>
      </w:r>
    </w:p>
    <w:p>
      <w:pPr>
        <w:spacing w:after="0" w:line="66" w:lineRule="exact"/>
        <w:rPr>
          <w:sz w:val="20"/>
          <w:szCs w:val="20"/>
          <w:color w:val="auto"/>
        </w:rPr>
      </w:pPr>
    </w:p>
    <w:p>
      <w:pPr>
        <w:jc w:val="both"/>
        <w:ind w:left="640" w:right="639" w:firstLine="331"/>
        <w:spacing w:after="0" w:line="269" w:lineRule="auto"/>
        <w:rPr>
          <w:sz w:val="20"/>
          <w:szCs w:val="20"/>
          <w:color w:val="auto"/>
        </w:rPr>
      </w:pPr>
      <w:r>
        <w:rPr>
          <w:rFonts w:ascii="Times New Roman" w:cs="Times New Roman" w:eastAsia="Times New Roman" w:hAnsi="Times New Roman"/>
          <w:sz w:val="16"/>
          <w:szCs w:val="16"/>
          <w:color w:val="auto"/>
        </w:rPr>
        <w:t>In connection with the sale of the common shares covered by this prospectus supplement through underwriters, underwriters may receive compensation in the form of underwriting discounts or commissions and may also receive commissions from purchasers of shares of common shares for whom they may act as agent. Underwriters may sell to or through dealers, and such dealers may receive compensation in the form of discounts, concessions or commissions from the underwriters and/or commissions from the purchasers for whom they may act as agent.</w:t>
      </w:r>
    </w:p>
    <w:p>
      <w:pPr>
        <w:spacing w:after="0" w:line="62"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Any common shares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79"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supplement to third parties in privately negotiated transactions. If the applicable prospectus supplement so indicates, in connection with those derivatives, the third parties may sell securities covered by the accompanying prospectus to this prospectus supplement, including in short sale transactions. If so, the third party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party in such sale transactions will be an underwriter and, if not identified in the accompanying prospectus to this prospectus supplement, will be named in the applicable prospectus supplement (or a post-effective amendment). In addition, we may otherwise loan or pledge securities to a financial institution or other third party that in turn may sell the securities short using the accompanying prospectus to this prospectus supplement and an applicable prospectus supplement. Such financial institution or other third party may transfer its economic short position to investors in our securities or in connection with a concurrent offering of other securities.</w:t>
      </w:r>
    </w:p>
    <w:p>
      <w:pPr>
        <w:spacing w:after="0" w:line="87"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The specific terms of any lock-up provisions in respect of any given offering will be described in the applicable amendment or supplement to this prospectus supplement.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firstLine="331"/>
        <w:spacing w:after="0" w:line="269" w:lineRule="auto"/>
        <w:rPr>
          <w:sz w:val="20"/>
          <w:szCs w:val="20"/>
          <w:color w:val="auto"/>
        </w:rPr>
      </w:pPr>
      <w:r>
        <w:rPr>
          <w:rFonts w:ascii="Times New Roman" w:cs="Times New Roman" w:eastAsia="Times New Roman" w:hAnsi="Times New Roman"/>
          <w:sz w:val="16"/>
          <w:szCs w:val="16"/>
          <w:color w:val="auto"/>
        </w:rPr>
        <w:t>Any underwriters, broker/dealers or agents participating in the distribution of common shares covered by this prospectus supplement may be deemed to be “underwriters” within the meaning of the Securities Act, and any commissions received by any of those underwriters, broker/dealers or agents may be deemed to be underwriting commissions under the Securities Act. A selling securityholder may be deemed to be an “underwriter” within the meaning of the Securities Act with respect to the sale of the common shares covered by this prospectus supplement.</w:t>
      </w:r>
    </w:p>
    <w:p>
      <w:pPr>
        <w:spacing w:after="0" w:line="62"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We and the selling securityholders may agree to indemnify underwriters, broker-dealers or agents against certain liabilities, including liabilities under the Securities Act and may also agree to contribute to payments which the underwriters, broker/dealers or agents may be required to make.</w:t>
      </w:r>
    </w:p>
    <w:p>
      <w:pPr>
        <w:spacing w:after="0" w:line="70"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Certain of the underwriters, broker/dealers or agents who may become involved in the sale of our common shares may engage in transactions with and perform other services for us in the ordinary course of their business for which they receive customary compensation.</w:t>
      </w:r>
    </w:p>
    <w:p>
      <w:pPr>
        <w:spacing w:after="0" w:line="70" w:lineRule="exact"/>
        <w:rPr>
          <w:sz w:val="20"/>
          <w:szCs w:val="20"/>
          <w:color w:val="auto"/>
        </w:rPr>
      </w:pPr>
    </w:p>
    <w:p>
      <w:pPr>
        <w:jc w:val="both"/>
        <w:ind w:left="640" w:right="659" w:firstLine="331"/>
        <w:spacing w:after="0" w:line="256" w:lineRule="auto"/>
        <w:rPr>
          <w:sz w:val="20"/>
          <w:szCs w:val="20"/>
          <w:color w:val="auto"/>
        </w:rPr>
      </w:pPr>
      <w:r>
        <w:rPr>
          <w:rFonts w:ascii="Times New Roman" w:cs="Times New Roman" w:eastAsia="Times New Roman" w:hAnsi="Times New Roman"/>
          <w:sz w:val="17"/>
          <w:szCs w:val="17"/>
          <w:color w:val="auto"/>
        </w:rPr>
        <w:t>Some of the common shares covered by this prospectus supplement may be sold by selling securityholders in private transactions or under Rule 144 under the Securities Act or another available exemption from the registration requirements of the Securities Act rather than pursuant to this prospectus supplement.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7"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The validity of our common shares offered hereby and certain other matters of Dutch law will be passed upon for us by NautaDutilh N.V.</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7"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The financial statements of ATAI Life Sciences N.V.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73"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The audited historical financial statements of Beckley Psytech Limited included in Exhibit 99.1 of ATAI Life Sciences N.V.’s Current Report on Form 8-K, dated September 29, 2025, have been so incorporated in reliance on the report (which contains an explanatory paragraph relating to the Beckley Psytech Limited’s ability to continue as a going concern as described in Note 1 to the financial statements) of PricewaterhouseCoopers LLP, independent auditors, given on the authority of said firm as experts in auditing and accounting.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 w:name="page28"/>
    <w:bookmarkEnd w:id="27"/>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2134870</wp:posOffset>
            </wp:positionH>
            <wp:positionV relativeFrom="paragraph">
              <wp:posOffset>165100</wp:posOffset>
            </wp:positionV>
            <wp:extent cx="1458595" cy="488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14585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 </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ATAI Life Sciences N.V.</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jc w:val="center"/>
        <w:ind w:right="19"/>
        <w:spacing w:after="0" w:line="233" w:lineRule="auto"/>
        <w:rPr>
          <w:sz w:val="20"/>
          <w:szCs w:val="20"/>
          <w:color w:val="auto"/>
        </w:rPr>
      </w:pPr>
      <w:r>
        <w:rPr>
          <w:rFonts w:ascii="Times New Roman" w:cs="Times New Roman" w:eastAsia="Times New Roman" w:hAnsi="Times New Roman"/>
          <w:sz w:val="20"/>
          <w:szCs w:val="20"/>
          <w:b w:val="1"/>
          <w:bCs w:val="1"/>
          <w:color w:val="auto"/>
        </w:rPr>
        <w:t>Warrants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82" w:lineRule="exact"/>
        <w:rPr>
          <w:sz w:val="20"/>
          <w:szCs w:val="20"/>
          <w:color w:val="auto"/>
        </w:rPr>
      </w:pPr>
    </w:p>
    <w:p>
      <w:pPr>
        <w:jc w:val="center"/>
        <w:ind w:left="720" w:right="739"/>
        <w:spacing w:after="0" w:line="271" w:lineRule="auto"/>
        <w:rPr>
          <w:sz w:val="20"/>
          <w:szCs w:val="20"/>
          <w:color w:val="auto"/>
        </w:rPr>
      </w:pPr>
      <w:r>
        <w:rPr>
          <w:rFonts w:ascii="Times New Roman" w:cs="Times New Roman" w:eastAsia="Times New Roman" w:hAnsi="Times New Roman"/>
          <w:sz w:val="18"/>
          <w:szCs w:val="18"/>
          <w:b w:val="1"/>
          <w:bCs w:val="1"/>
          <w:color w:val="auto"/>
        </w:rPr>
        <w:t>Common Shares Offered by the Selling Securityholders, Including Up to 45,321,301 Common Shares Offered by the Selling Securityholders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278765</wp:posOffset>
            </wp:positionV>
            <wp:extent cx="10090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1009015" cy="76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720" w:right="739" w:firstLine="331"/>
        <w:spacing w:after="0" w:line="248" w:lineRule="auto"/>
        <w:rPr>
          <w:sz w:val="20"/>
          <w:szCs w:val="20"/>
          <w:color w:val="auto"/>
        </w:rPr>
      </w:pPr>
      <w:r>
        <w:rPr>
          <w:rFonts w:ascii="Times New Roman" w:cs="Times New Roman" w:eastAsia="Times New Roman" w:hAnsi="Times New Roman"/>
          <w:sz w:val="17"/>
          <w:szCs w:val="17"/>
          <w:color w:val="auto"/>
        </w:rPr>
        <w:t>We may offer and sell the securities identified above, and certain selling securityholders may offer and sell our common shares, nominal value €0.10 per share (“common shares”) (including up to 45,321,301 common shares by the selling securityholders identified in the “selling securityholders” section of this prospectus), in each case from time to time in one or more offerings. This prospectus provides you with a general description of the securities. We will not receive any proceeds from the sale of our common shares by any of the selling securityholders.</w:t>
      </w:r>
    </w:p>
    <w:p>
      <w:pPr>
        <w:spacing w:after="0" w:line="79" w:lineRule="exact"/>
        <w:rPr>
          <w:sz w:val="20"/>
          <w:szCs w:val="20"/>
          <w:color w:val="auto"/>
        </w:rPr>
      </w:pPr>
    </w:p>
    <w:p>
      <w:pPr>
        <w:jc w:val="both"/>
        <w:ind w:left="720" w:right="739" w:firstLine="331"/>
        <w:spacing w:after="0" w:line="247" w:lineRule="auto"/>
        <w:rPr>
          <w:sz w:val="20"/>
          <w:szCs w:val="20"/>
          <w:color w:val="auto"/>
        </w:rPr>
      </w:pPr>
      <w:r>
        <w:rPr>
          <w:rFonts w:ascii="Times New Roman" w:cs="Times New Roman" w:eastAsia="Times New Roman" w:hAnsi="Times New Roman"/>
          <w:sz w:val="17"/>
          <w:szCs w:val="17"/>
          <w:color w:val="auto"/>
        </w:rPr>
        <w:t>Each time we offer and sell securities, we will provide a supplement to this prospectus that contains specific information about the offering and the amounts, prices and terms of the securities. In addition, in connection with certain offers and sales of securities by the selling securityholders, we and the selling securityholders will provide, if applicable, a prospectus supplement to this prospectus containing specific information about the offering by the selling securityholders and the amounts, prices and terms of the securities being offered.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79" w:lineRule="exact"/>
        <w:rPr>
          <w:sz w:val="20"/>
          <w:szCs w:val="20"/>
          <w:color w:val="auto"/>
        </w:rPr>
      </w:pPr>
    </w:p>
    <w:p>
      <w:pPr>
        <w:jc w:val="both"/>
        <w:ind w:left="720" w:right="739" w:firstLine="331"/>
        <w:spacing w:after="0" w:line="246" w:lineRule="auto"/>
        <w:rPr>
          <w:sz w:val="20"/>
          <w:szCs w:val="20"/>
          <w:color w:val="auto"/>
        </w:rPr>
      </w:pPr>
      <w:r>
        <w:rPr>
          <w:rFonts w:ascii="Times New Roman" w:cs="Times New Roman" w:eastAsia="Times New Roman" w:hAnsi="Times New Roman"/>
          <w:sz w:val="17"/>
          <w:szCs w:val="17"/>
          <w:color w:val="auto"/>
        </w:rPr>
        <w:t>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our common shares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80" w:lineRule="exact"/>
        <w:rPr>
          <w:sz w:val="20"/>
          <w:szCs w:val="20"/>
          <w:color w:val="auto"/>
        </w:rPr>
      </w:pPr>
    </w:p>
    <w:p>
      <w:pPr>
        <w:jc w:val="both"/>
        <w:ind w:left="720" w:right="739" w:firstLine="331"/>
        <w:spacing w:after="0" w:line="258"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and any similar section contained in the applicable prospectus supplement concerning factors you should consider before investing in our securities.</w:t>
      </w:r>
    </w:p>
    <w:p>
      <w:pPr>
        <w:spacing w:after="0" w:line="69" w:lineRule="exact"/>
        <w:rPr>
          <w:sz w:val="20"/>
          <w:szCs w:val="20"/>
          <w:color w:val="auto"/>
        </w:rPr>
      </w:pPr>
    </w:p>
    <w:p>
      <w:pPr>
        <w:jc w:val="both"/>
        <w:ind w:left="720" w:right="739" w:firstLine="331"/>
        <w:spacing w:after="0" w:line="268" w:lineRule="auto"/>
        <w:rPr>
          <w:sz w:val="20"/>
          <w:szCs w:val="20"/>
          <w:color w:val="auto"/>
        </w:rPr>
      </w:pPr>
      <w:r>
        <w:rPr>
          <w:rFonts w:ascii="Times New Roman" w:cs="Times New Roman" w:eastAsia="Times New Roman" w:hAnsi="Times New Roman"/>
          <w:sz w:val="17"/>
          <w:szCs w:val="17"/>
          <w:color w:val="auto"/>
        </w:rPr>
        <w:t>Our common shares are listed on the Nasdaq Global Market under the symbol “ATAI.” On September 26, 2025, the last reported sale price of our common shares on the Nasdaq Global Market was $5.27 per share.</w:t>
      </w:r>
    </w:p>
    <w:p>
      <w:pPr>
        <w:spacing w:after="0" w:line="56" w:lineRule="exact"/>
        <w:rPr>
          <w:sz w:val="20"/>
          <w:szCs w:val="20"/>
          <w:color w:val="auto"/>
        </w:rPr>
      </w:pPr>
    </w:p>
    <w:p>
      <w:pPr>
        <w:jc w:val="both"/>
        <w:ind w:left="720" w:right="739" w:firstLine="331"/>
        <w:spacing w:after="0" w:line="25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117475</wp:posOffset>
            </wp:positionV>
            <wp:extent cx="643382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 w:name="page29"/>
    <w:bookmarkEnd w:id="28"/>
    <w:tbl>
      <w:tblPr>
        <w:tblLayout w:type="fixed"/>
        <w:tblInd w:w="640" w:type="dxa"/>
        <w:tblCellMar>
          <w:top w:w="0" w:type="dxa"/>
          <w:left w:w="0" w:type="dxa"/>
          <w:bottom w:w="0" w:type="dxa"/>
          <w:right w:w="0" w:type="dxa"/>
        </w:tblCellMar>
      </w:tblPr>
      <w:tr>
        <w:trPr>
          <w:trHeight w:val="149"/>
        </w:trPr>
        <w:tc>
          <w:tcPr>
            <w:tcW w:w="7140" w:type="dxa"/>
            <w:vAlign w:val="bottom"/>
            <w:gridSpan w:val="18"/>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1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7"/>
          </w:tcPr>
          <w:p>
            <w:pPr>
              <w:spacing w:after="0" w:line="174"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5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0000EE"/>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2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3"/>
              </w:rPr>
              <w:t>TRADEMARKS</w:t>
            </w:r>
          </w:p>
        </w:tc>
        <w:tc>
          <w:tcPr>
            <w:tcW w:w="6000" w:type="dxa"/>
            <w:vAlign w:val="bottom"/>
            <w:gridSpan w:val="15"/>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7"/>
          </w:tcPr>
          <w:p>
            <w:pPr>
              <w:spacing w:after="0" w:line="174" w:lineRule="exact"/>
              <w:rPr>
                <w:sz w:val="20"/>
                <w:szCs w:val="20"/>
                <w:color w:val="auto"/>
              </w:rPr>
            </w:pPr>
            <w:r>
              <w:rPr>
                <w:rFonts w:ascii="Times New Roman" w:cs="Times New Roman" w:eastAsia="Times New Roman" w:hAnsi="Times New Roman"/>
                <w:sz w:val="17"/>
                <w:szCs w:val="17"/>
                <w:color w:val="0000EE"/>
              </w:rPr>
              <w:t>WHERE YOU CAN FIND MORE INFORMATION; INCORPORATION BY REFERENCE</w:t>
            </w:r>
          </w:p>
        </w:tc>
        <w:tc>
          <w:tcPr>
            <w:tcW w:w="5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0000EE"/>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THE COMPANY</w:t>
            </w:r>
          </w:p>
        </w:tc>
        <w:tc>
          <w:tcPr>
            <w:tcW w:w="5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140" w:type="dxa"/>
            <w:vAlign w:val="bottom"/>
            <w:gridSpan w:val="3"/>
          </w:tcPr>
          <w:p>
            <w:pPr>
              <w:spacing w:after="0" w:line="174" w:lineRule="exact"/>
              <w:rPr>
                <w:sz w:val="20"/>
                <w:szCs w:val="20"/>
                <w:color w:val="auto"/>
              </w:rPr>
            </w:pPr>
            <w:r>
              <w:rPr>
                <w:rFonts w:ascii="Times New Roman" w:cs="Times New Roman" w:eastAsia="Times New Roman" w:hAnsi="Times New Roman"/>
                <w:sz w:val="17"/>
                <w:szCs w:val="17"/>
                <w:color w:val="0000EE"/>
                <w:w w:val="93"/>
              </w:rPr>
              <w:t>RISK FACTORS</w:t>
            </w:r>
          </w:p>
        </w:tc>
        <w:tc>
          <w:tcPr>
            <w:tcW w:w="5980" w:type="dxa"/>
            <w:vAlign w:val="bottom"/>
            <w:gridSpan w:val="14"/>
          </w:tcPr>
          <w:p>
            <w:pPr>
              <w:spacing w:after="0"/>
              <w:rPr>
                <w:sz w:val="15"/>
                <w:szCs w:val="15"/>
                <w:color w:val="auto"/>
              </w:rPr>
            </w:pPr>
          </w:p>
        </w:tc>
        <w:tc>
          <w:tcPr>
            <w:tcW w:w="5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0000EE"/>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USE OF PROCEEDS</w:t>
            </w:r>
          </w:p>
        </w:tc>
        <w:tc>
          <w:tcPr>
            <w:tcW w:w="5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120" w:type="dxa"/>
            <w:vAlign w:val="bottom"/>
            <w:gridSpan w:val="17"/>
          </w:tcPr>
          <w:p>
            <w:pPr>
              <w:spacing w:after="0" w:line="174" w:lineRule="exact"/>
              <w:rPr>
                <w:sz w:val="20"/>
                <w:szCs w:val="20"/>
                <w:color w:val="auto"/>
              </w:rPr>
            </w:pPr>
            <w:r>
              <w:rPr>
                <w:rFonts w:ascii="Times New Roman" w:cs="Times New Roman" w:eastAsia="Times New Roman" w:hAnsi="Times New Roman"/>
                <w:sz w:val="17"/>
                <w:szCs w:val="17"/>
                <w:color w:val="0000EE"/>
              </w:rPr>
              <w:t>DESCRIPTION OF SHARE CAPITAL AND ARTICLES OF ASSOCIATION</w:t>
            </w:r>
          </w:p>
        </w:tc>
        <w:tc>
          <w:tcPr>
            <w:tcW w:w="5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0000EE"/>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60" w:type="dxa"/>
            <w:vAlign w:val="bottom"/>
            <w:tcBorders>
              <w:bottom w:val="single" w:sz="8" w:color="0000EE"/>
            </w:tcBorders>
            <w:gridSpan w:val="13"/>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5"/>
              </w:rPr>
              <w:t>DESCRIPTION OF DEBT SECURITIES</w:t>
            </w:r>
          </w:p>
        </w:tc>
        <w:tc>
          <w:tcPr>
            <w:tcW w:w="4360" w:type="dxa"/>
            <w:vAlign w:val="bottom"/>
            <w:tcBorders>
              <w:bottom w:val="single" w:sz="8" w:color="CCEEFF"/>
            </w:tcBorders>
            <w:gridSpan w:val="4"/>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w w:val="82"/>
              </w:rPr>
              <w:t>16</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gridSpan w:val="17"/>
          </w:tcPr>
          <w:p>
            <w:pPr>
              <w:spacing w:after="0" w:line="174" w:lineRule="exact"/>
              <w:rPr>
                <w:sz w:val="20"/>
                <w:szCs w:val="20"/>
                <w:color w:val="auto"/>
              </w:rPr>
            </w:pPr>
            <w:r>
              <w:rPr>
                <w:rFonts w:ascii="Times New Roman" w:cs="Times New Roman" w:eastAsia="Times New Roman" w:hAnsi="Times New Roman"/>
                <w:sz w:val="17"/>
                <w:szCs w:val="17"/>
                <w:color w:val="0000EE"/>
              </w:rPr>
              <w:t>DESCRIPTION OF WARRANTS</w:t>
            </w:r>
          </w:p>
        </w:tc>
        <w:tc>
          <w:tcPr>
            <w:tcW w:w="5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0000EE"/>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DESCRIPTION OF UNITS</w:t>
            </w:r>
          </w:p>
        </w:tc>
        <w:tc>
          <w:tcPr>
            <w:tcW w:w="5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Borders>
              <w:top w:val="single" w:sz="8" w:color="0000EE"/>
            </w:tcBorders>
            <w:gridSpan w:val="8"/>
          </w:tcPr>
          <w:p>
            <w:pPr>
              <w:spacing w:after="0" w:line="174" w:lineRule="exact"/>
              <w:rPr>
                <w:sz w:val="20"/>
                <w:szCs w:val="20"/>
                <w:color w:val="auto"/>
              </w:rPr>
            </w:pPr>
            <w:r>
              <w:rPr>
                <w:rFonts w:ascii="Times New Roman" w:cs="Times New Roman" w:eastAsia="Times New Roman" w:hAnsi="Times New Roman"/>
                <w:sz w:val="17"/>
                <w:szCs w:val="17"/>
                <w:color w:val="0000EE"/>
              </w:rPr>
              <w:t>GLOBAL SECURITIES</w:t>
            </w:r>
          </w:p>
        </w:tc>
        <w:tc>
          <w:tcPr>
            <w:tcW w:w="5300" w:type="dxa"/>
            <w:vAlign w:val="bottom"/>
            <w:tcBorders>
              <w:top w:val="single" w:sz="8" w:color="CCEEFF"/>
            </w:tcBorders>
            <w:gridSpan w:val="9"/>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0000EE"/>
                <w:w w:val="82"/>
              </w:rPr>
              <w:t>25</w:t>
            </w: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tcBorders>
              <w:bottom w:val="single" w:sz="8" w:color="0000EE"/>
            </w:tcBorders>
            <w:gridSpan w:val="1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5"/>
              </w:rPr>
              <w:t>SELLING SECURITYHOLDERS</w:t>
            </w:r>
          </w:p>
        </w:tc>
        <w:tc>
          <w:tcPr>
            <w:tcW w:w="4840" w:type="dxa"/>
            <w:vAlign w:val="bottom"/>
            <w:tcBorders>
              <w:bottom w:val="single" w:sz="8" w:color="CCEEFF"/>
            </w:tcBorders>
            <w:gridSpan w:val="5"/>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w w:val="82"/>
              </w:rPr>
              <w:t>28</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gridSpan w:val="17"/>
          </w:tcPr>
          <w:p>
            <w:pPr>
              <w:spacing w:after="0" w:line="174" w:lineRule="exact"/>
              <w:rPr>
                <w:sz w:val="20"/>
                <w:szCs w:val="20"/>
                <w:color w:val="auto"/>
              </w:rPr>
            </w:pPr>
            <w:r>
              <w:rPr>
                <w:rFonts w:ascii="Times New Roman" w:cs="Times New Roman" w:eastAsia="Times New Roman" w:hAnsi="Times New Roman"/>
                <w:sz w:val="17"/>
                <w:szCs w:val="17"/>
                <w:color w:val="0000EE"/>
              </w:rPr>
              <w:t>PLAN OF DISTRIBUTION</w:t>
            </w:r>
          </w:p>
        </w:tc>
        <w:tc>
          <w:tcPr>
            <w:tcW w:w="5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0000EE"/>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LEGAL MATTERS</w:t>
            </w:r>
          </w:p>
        </w:tc>
        <w:tc>
          <w:tcPr>
            <w:tcW w:w="580" w:type="dxa"/>
            <w:vAlign w:val="bottom"/>
            <w:gridSpan w:val="3"/>
            <w:shd w:val="clear" w:color="auto" w:fill="CCEEFF"/>
          </w:tcPr>
          <w:p>
            <w:pPr>
              <w:jc w:val="right"/>
              <w:spacing w:after="0" w:line="174" w:lineRule="exact"/>
              <w:rPr>
                <w:sz w:val="20"/>
                <w:szCs w:val="20"/>
                <w:color w:val="auto"/>
              </w:rPr>
            </w:pPr>
            <w:r>
              <w:rPr>
                <w:rFonts w:ascii="Times New Roman" w:cs="Times New Roman" w:eastAsia="Times New Roman" w:hAnsi="Times New Roman"/>
                <w:sz w:val="17"/>
                <w:szCs w:val="17"/>
                <w:color w:val="0000EE"/>
              </w:rPr>
              <w:t>34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0000EE"/>
            </w:tcBorders>
          </w:tcPr>
          <w:p>
            <w:pPr>
              <w:spacing w:after="0"/>
              <w:rPr>
                <w:sz w:val="15"/>
                <w:szCs w:val="15"/>
                <w:color w:val="auto"/>
              </w:rPr>
            </w:pPr>
          </w:p>
        </w:tc>
        <w:tc>
          <w:tcPr>
            <w:tcW w:w="680" w:type="dxa"/>
            <w:vAlign w:val="bottom"/>
            <w:tcBorders>
              <w:top w:val="single" w:sz="8" w:color="0000EE"/>
              <w:bottom w:val="single" w:sz="8" w:color="0000EE"/>
            </w:tcBorders>
          </w:tcPr>
          <w:p>
            <w:pPr>
              <w:spacing w:after="0" w:line="174" w:lineRule="exact"/>
              <w:rPr>
                <w:sz w:val="20"/>
                <w:szCs w:val="20"/>
                <w:color w:val="auto"/>
              </w:rPr>
            </w:pPr>
            <w:r>
              <w:rPr>
                <w:rFonts w:ascii="Times New Roman" w:cs="Times New Roman" w:eastAsia="Times New Roman" w:hAnsi="Times New Roman"/>
                <w:sz w:val="17"/>
                <w:szCs w:val="17"/>
                <w:color w:val="0000EE"/>
                <w:w w:val="89"/>
              </w:rPr>
              <w:t>EXPERTS</w:t>
            </w:r>
          </w:p>
        </w:tc>
        <w:tc>
          <w:tcPr>
            <w:tcW w:w="620" w:type="dxa"/>
            <w:vAlign w:val="bottom"/>
            <w:tcBorders>
              <w:top w:val="single" w:sz="8" w:color="0000EE"/>
            </w:tcBorders>
            <w:gridSpan w:val="3"/>
          </w:tcPr>
          <w:p>
            <w:pPr>
              <w:spacing w:after="0"/>
              <w:rPr>
                <w:sz w:val="15"/>
                <w:szCs w:val="15"/>
                <w:color w:val="auto"/>
              </w:rPr>
            </w:pPr>
          </w:p>
        </w:tc>
        <w:tc>
          <w:tcPr>
            <w:tcW w:w="5820" w:type="dxa"/>
            <w:vAlign w:val="bottom"/>
            <w:tcBorders>
              <w:top w:val="single" w:sz="8" w:color="CCEEFF"/>
            </w:tcBorders>
            <w:gridSpan w:val="13"/>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0000EE"/>
                <w:w w:val="82"/>
              </w:rPr>
              <w:t>34</w:t>
            </w: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1"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07"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U.S. Securities and Exchange Commission, or the SEC, as a “well-known seasoned issuer” as defined in Rule 405 under the Securities Act of 1933, as amended (the “Securities Act”), using a “shelf” registration process. By using a shelf registration statement, we may sell securities from time to time and in one or more offerings and the selling securityholders identified herein, including, if applicable, their respective donees, pledgees, transferees, assignees, designees, distributees or other successors-in-interest who after the date of this prospectus come to hold any of the interests of any of such selling securityholders’ respective interests in our common shares other than through a public sale, and to be identified in a supplement to this prospectus may, from time to time, sell our common shares, including up to 45,321,301 common shares by the selling securityholders identified in the “selling securityholders” section of this prospectus, from time to time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81"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81"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Unless the context otherwise requires, all references in this prospectus to “atai,” “we,” “our,” “us” or the “Company,” refer to ATAI Life Sciences N.V. and its consolidated subsidiaries. When we refer to “you,” we mean the potential holders of the applicable series of securities.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07"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This prospectus contains forward-looking statements within the meaning of the Private Securities Litigation Reform Act of 1995. We intend such forward-looking statements to be covered by the safe harbor provisions for forward-looking statements contained in Section 27A of the Securities Act and Section 21E of the Securities Exchange Act of 1934, as amended (the “Exchange Act”). All statements contained in this prospectus other than statements of historical fact are forward-looking statements, including without limitation statements regarding our future operating results and financial position; the success, cost, and timing of development of our product candidates, including the progress of preclinical studies and clinical trials and related milestones; the commercialization of our current product candidates and any other product candidates we may identify and pursue, if approved, including our ability to successfully build a specialty sales force and commercial infrastructure to market our current product candidates and any other product candidates we may identify and pursue; the timing of and our ability to obtain and maintain regulatory approvals; our business strategy and plans, including the benefits of our corporate restructuring and our pending corporate redomiciliation to the U.S.; potential acquisitions, partnerships and other strategic arrangements, including our pending transaction with Beckley Psytech Limited (“Beckley Psytech”); the ability to generate revenue from any current or future licensing agreements and other strategic arrangements, the sufficiency of our cash and cash equivalents and short-term securities to fund our operations; and the plans and objectives of management for future operations and capital expenditures. The words “believe,” “may,” “will,” “estimate,” “continue,” “anticipate,” “intend,” “expect,” “could,” “would,” “project,” “plan,” “potentially,” “preliminary,” “likely,” and similar expressions are intended to identify forward-looking statements.</w:t>
      </w:r>
    </w:p>
    <w:p>
      <w:pPr>
        <w:spacing w:after="0" w:line="82" w:lineRule="exact"/>
        <w:rPr>
          <w:sz w:val="20"/>
          <w:szCs w:val="20"/>
          <w:color w:val="auto"/>
        </w:rPr>
      </w:pPr>
    </w:p>
    <w:p>
      <w:pPr>
        <w:jc w:val="both"/>
        <w:ind w:left="640" w:right="639" w:firstLine="331"/>
        <w:spacing w:after="0" w:line="260" w:lineRule="auto"/>
        <w:rPr>
          <w:sz w:val="20"/>
          <w:szCs w:val="20"/>
          <w:color w:val="auto"/>
        </w:rPr>
      </w:pPr>
      <w:r>
        <w:rPr>
          <w:rFonts w:ascii="Times New Roman" w:cs="Times New Roman" w:eastAsia="Times New Roman" w:hAnsi="Times New Roman"/>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we are a clinical-stage biopharmaceutical company and have incurred significant losses since our inception, and we expect to incur losses for the foreseeable future and may never be profitable; if we are unable to obtain funding when needed and on acceptable terms, we could be forced to delay, limit or discontinue our product candidate development efforts; our limited operating history may make it difficult for you to evaluate the success of our business and to assess our future viability; risks related to the proposed transaction with Beckley Psytech; we rely on third parties to assist in conducting our clinical trials and some aspects of our research and preclinical testing; we currently rely on qualified therapists working at third-party clinical trial sites to administer certain of our product candidates in our clinical trials and we expect this to continue upon approval, if any, of our current or future product candidates, and if third-party sites fail to recruit and retain a sufficient number of therapists or effectively manage their therapists, our business, financial condition and results of operations would be materially harmed; our product candidates are in preclinical or clinical development, which is a lengthy and expensive process with uncertain outcomes, and we cannot give any assurance that any of our product candidates will be successfully developed and/or receive regulatory approval, which is necessary before they can be commercialized; research and development of drugs targeting the central nervous system, or CNS, is particularly difficult, and it can be difficult to predict and understand why a drug has a positive effect on some patients but not others, which may reduce the likelihood our product candidates are ultimately approved and therefore may have a material adverse effect on our business and operating results; the production and sale of our product candidates may be considered illegal or may otherwise be restricted due to the use of controlled substances, which may also have consequences for the legality of investments from foreign jurisdictions and therefore we may not be successful in commercializing our product candidates in such jurisdictions, which will adversely affect our business, financial condition and results of operations; we face significant competition in an environment of rapid technological and scientific change, and there is a possibility that our competitors may achieve regulatory approval before we do or develop therapies that are safer, more advanced or more effective than ours, which may negatively impact our ability to successfully market or commercialize any product candidates we may develop and ultimately harm our financial condition; if we are unable to obtain and maintain sufficient intellectual property protection for our existing product candidates or any other product candidates that we may identify, or if the scope of the intellectual property protection we currently have or obtain in the future is not sufficiently broad, our competitors could develop and commercialize product candidates similar or identical to ours, and our ability to successfully commercialize our existing product candidates and any other product candidates that we may pursue may be impaired; third parties may claim that we are infringing, misappropriating or otherwise violating their intellectual property rights, the outcome of which would be uncertain and may prevent or delay our development and commercialization efforts; our future success depends on our ability to retain key employees, directors, consultants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spacing w:after="0" w:line="246" w:lineRule="auto"/>
        <w:rPr>
          <w:sz w:val="20"/>
          <w:szCs w:val="20"/>
          <w:color w:val="auto"/>
        </w:rPr>
      </w:pPr>
      <w:r>
        <w:rPr>
          <w:rFonts w:ascii="Times New Roman" w:cs="Times New Roman" w:eastAsia="Times New Roman" w:hAnsi="Times New Roman"/>
          <w:sz w:val="17"/>
          <w:szCs w:val="17"/>
          <w:color w:val="auto"/>
        </w:rPr>
        <w:t>and advisors and to attract, retain and motivate qualified personnel; if we fail to maintain an effective system of disclosure controls and internal control over financial reporting our ability to produce timely and accurate financial statements or comply with applicable regulations could be impaired; our business is subject to economic, political, regulatory and other risks associated with international operations; a pandemic, epidemic, or outbreak of an infectious disease, such as the COVID-19 pandemic, may materially and adversely affect our business, including our preclinical studies, clinical trials, trial sites, third parties on whom we rely, our supply chain, our ability to raise capital, our ability to conduct regular business and our financial results, and other risks, uncertainties, and assumptions described under “Risk Factors” in Item 1A of Part I, “Management’s Discussion and Analysis of Financial Condition and Results of Operations” in Item 7 of Part II and elsewhere in our Form 10-K for the year ended December 31, 2024, as further updated in “Management’s Discussion and Analysis of Financial Condition and Results of Operations” in Item 2 of our Form 10-Q for the quarterly period ended June 30, 2025, and in our subsequent filings with the SEC.</w:t>
      </w:r>
    </w:p>
    <w:p>
      <w:pPr>
        <w:spacing w:after="0" w:line="79" w:lineRule="exact"/>
        <w:rPr>
          <w:sz w:val="20"/>
          <w:szCs w:val="20"/>
          <w:color w:val="auto"/>
        </w:rPr>
      </w:pPr>
    </w:p>
    <w:p>
      <w:pPr>
        <w:jc w:val="both"/>
        <w:ind w:left="640" w:right="639" w:firstLine="331"/>
        <w:spacing w:after="0" w:line="267" w:lineRule="auto"/>
        <w:rPr>
          <w:sz w:val="20"/>
          <w:szCs w:val="20"/>
          <w:color w:val="auto"/>
        </w:rPr>
      </w:pPr>
      <w:r>
        <w:rPr>
          <w:rFonts w:ascii="Times New Roman" w:cs="Times New Roman" w:eastAsia="Times New Roman" w:hAnsi="Times New Roman"/>
          <w:sz w:val="16"/>
          <w:szCs w:val="16"/>
          <w:color w:val="auto"/>
        </w:rPr>
        <w:t>Any forward-looking statements made herein speak only as of the date of this prospectus,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prospectus or to conform these statements to actual results or revised expectations.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10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We have proprietary rights to trademarks used in this prospectus that are important to our business, many of which are registered under applicable intellectual property laws. Solely for convenience, trademarks and trade names referred to in this prospectus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is the property of its respective holder.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 INCORPORATION BY REFERENCE</w:t>
      </w: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07"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https://www.sec.gov.</w:t>
      </w:r>
    </w:p>
    <w:p>
      <w:pPr>
        <w:spacing w:after="0" w:line="70"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Our website address is https://atai.com. The information contained on, or that can be accessed from, our website is not, and should not be deemed to be, a part of this prospectus.</w:t>
      </w:r>
    </w:p>
    <w:p>
      <w:pPr>
        <w:spacing w:after="0" w:line="60" w:lineRule="exact"/>
        <w:rPr>
          <w:sz w:val="20"/>
          <w:szCs w:val="20"/>
          <w:color w:val="auto"/>
        </w:rPr>
      </w:pPr>
    </w:p>
    <w:p>
      <w:pPr>
        <w:jc w:val="both"/>
        <w:ind w:left="640" w:right="639" w:firstLine="331"/>
        <w:spacing w:after="0" w:line="265" w:lineRule="auto"/>
        <w:rPr>
          <w:sz w:val="20"/>
          <w:szCs w:val="20"/>
          <w:color w:val="auto"/>
        </w:rPr>
      </w:pPr>
      <w:r>
        <w:rPr>
          <w:rFonts w:ascii="Times New Roman" w:cs="Times New Roman" w:eastAsia="Times New Roman" w:hAnsi="Times New Roman"/>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107" w:lineRule="exact"/>
        <w:rPr>
          <w:sz w:val="20"/>
          <w:szCs w:val="20"/>
          <w:color w:val="auto"/>
        </w:rPr>
      </w:pPr>
    </w:p>
    <w:p>
      <w:pPr>
        <w:jc w:val="both"/>
        <w:ind w:left="640" w:right="639"/>
        <w:spacing w:after="0" w:line="247"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82"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incorporate by reference the documents set forth below that have previously been filed with the SEC, but excluding any information furnished to, rather than filed with, the SEC:</w:t>
      </w:r>
    </w:p>
    <w:p>
      <w:pPr>
        <w:spacing w:after="0" w:line="70" w:lineRule="exact"/>
        <w:rPr>
          <w:sz w:val="20"/>
          <w:szCs w:val="20"/>
          <w:color w:val="auto"/>
        </w:rPr>
      </w:pPr>
    </w:p>
    <w:p>
      <w:pPr>
        <w:ind w:left="1280" w:right="639" w:hanging="319"/>
        <w:spacing w:after="0" w:line="268" w:lineRule="auto"/>
        <w:tabs>
          <w:tab w:leader="none" w:pos="1280" w:val="left"/>
        </w:tabs>
        <w:numPr>
          <w:ilvl w:val="0"/>
          <w:numId w:val="13"/>
        </w:numPr>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auto"/>
          </w:rPr>
          <w:t xml:space="preserve">Our Annual Report on Form 10-K for the year ended December 31, 2024, filed with the SEC on </w:t>
        </w:r>
        <w:r>
          <w:rPr>
            <w:rFonts w:ascii="Times New Roman" w:cs="Times New Roman" w:eastAsia="Times New Roman" w:hAnsi="Times New Roman"/>
            <w:sz w:val="17"/>
            <w:szCs w:val="17"/>
            <w:u w:val="single" w:color="auto"/>
            <w:color w:val="0000EE"/>
          </w:rPr>
          <w:t>March 17,</w:t>
        </w:r>
      </w:hyperlink>
      <w:r>
        <w:rPr>
          <w:rFonts w:ascii="Times New Roman" w:cs="Times New Roman" w:eastAsia="Times New Roman" w:hAnsi="Times New Roman"/>
          <w:sz w:val="17"/>
          <w:szCs w:val="17"/>
          <w:color w:val="auto"/>
        </w:rPr>
        <w:t xml:space="preserve"> </w:t>
      </w:r>
      <w:hyperlink r:id="rId13">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hyperlink>
    </w:p>
    <w:p>
      <w:pPr>
        <w:spacing w:after="0" w:line="60" w:lineRule="exact"/>
        <w:rPr>
          <w:rFonts w:ascii="Times New Roman" w:cs="Times New Roman" w:eastAsia="Times New Roman" w:hAnsi="Times New Roman"/>
          <w:sz w:val="17"/>
          <w:szCs w:val="17"/>
          <w:color w:val="0000EE"/>
        </w:rPr>
      </w:pPr>
    </w:p>
    <w:p>
      <w:pPr>
        <w:ind w:left="1280" w:right="659" w:hanging="319"/>
        <w:spacing w:after="0" w:line="268"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Form 10-K from our Definitive Proxy Statement on Schedule 14A, filed with the SEC on </w:t>
      </w:r>
      <w:hyperlink r:id="rId14">
        <w:r>
          <w:rPr>
            <w:rFonts w:ascii="Times New Roman" w:cs="Times New Roman" w:eastAsia="Times New Roman" w:hAnsi="Times New Roman"/>
            <w:sz w:val="17"/>
            <w:szCs w:val="17"/>
            <w:u w:val="single" w:color="auto"/>
            <w:color w:val="0000EE"/>
          </w:rPr>
          <w:t>April 21, 2025</w:t>
        </w:r>
      </w:hyperlink>
      <w:r>
        <w:rPr>
          <w:rFonts w:ascii="Times New Roman" w:cs="Times New Roman" w:eastAsia="Times New Roman" w:hAnsi="Times New Roman"/>
          <w:sz w:val="17"/>
          <w:szCs w:val="17"/>
          <w:color w:val="auto"/>
        </w:rPr>
        <w:t>.</w:t>
      </w:r>
    </w:p>
    <w:p>
      <w:pPr>
        <w:spacing w:after="0" w:line="60"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Reports on Form 10-Q for the quarters ended </w:t>
      </w:r>
      <w:hyperlink r:id="rId16">
        <w:r>
          <w:rPr>
            <w:rFonts w:ascii="Times New Roman" w:cs="Times New Roman" w:eastAsia="Times New Roman" w:hAnsi="Times New Roman"/>
            <w:sz w:val="17"/>
            <w:szCs w:val="17"/>
            <w:u w:val="single" w:color="auto"/>
            <w:color w:val="0000EE"/>
          </w:rPr>
          <w:t>March 31, 2025</w:t>
        </w:r>
      </w:hyperlink>
      <w:r>
        <w:rPr>
          <w:rFonts w:ascii="Times New Roman" w:cs="Times New Roman" w:eastAsia="Times New Roman" w:hAnsi="Times New Roman"/>
          <w:sz w:val="17"/>
          <w:szCs w:val="17"/>
          <w:color w:val="auto"/>
        </w:rPr>
        <w:t xml:space="preserve">, and </w:t>
      </w:r>
      <w:hyperlink r:id="rId17">
        <w:r>
          <w:rPr>
            <w:rFonts w:ascii="Times New Roman" w:cs="Times New Roman" w:eastAsia="Times New Roman" w:hAnsi="Times New Roman"/>
            <w:sz w:val="17"/>
            <w:szCs w:val="17"/>
            <w:u w:val="single" w:color="auto"/>
            <w:color w:val="0000EE"/>
          </w:rPr>
          <w:t>June 30, 2025</w:t>
        </w:r>
      </w:hyperlink>
      <w:r>
        <w:rPr>
          <w:rFonts w:ascii="Times New Roman" w:cs="Times New Roman" w:eastAsia="Times New Roman" w:hAnsi="Times New Roman"/>
          <w:sz w:val="17"/>
          <w:szCs w:val="17"/>
          <w:color w:val="auto"/>
        </w:rPr>
        <w:t>, filed with the SEC on May 14, 2025 and on August 14, 2025, respectively.</w:t>
      </w:r>
    </w:p>
    <w:p>
      <w:pPr>
        <w:spacing w:after="0" w:line="60"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13"/>
        </w:numPr>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color w:val="auto"/>
          </w:rPr>
          <w:t xml:space="preserve">Our Current Reports on Form 8-K filed with the SEC on </w:t>
        </w:r>
        <w:r>
          <w:rPr>
            <w:rFonts w:ascii="Times New Roman" w:cs="Times New Roman" w:eastAsia="Times New Roman" w:hAnsi="Times New Roman"/>
            <w:sz w:val="17"/>
            <w:szCs w:val="17"/>
            <w:u w:val="single" w:color="auto"/>
            <w:color w:val="0000EE"/>
          </w:rPr>
          <w:t>January 10,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January 24, 2025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February 13,</w:t>
        </w:r>
      </w:hyperlink>
      <w:r>
        <w:rPr>
          <w:rFonts w:ascii="Times New Roman" w:cs="Times New Roman" w:eastAsia="Times New Roman" w:hAnsi="Times New Roman"/>
          <w:sz w:val="17"/>
          <w:szCs w:val="17"/>
          <w:color w:val="auto"/>
        </w:rPr>
        <w:t xml:space="preserve"> </w:t>
      </w:r>
      <w:hyperlink r:id="rId19">
        <w:r>
          <w:rPr>
            <w:rFonts w:ascii="Times New Roman" w:cs="Times New Roman" w:eastAsia="Times New Roman" w:hAnsi="Times New Roman"/>
            <w:sz w:val="17"/>
            <w:szCs w:val="17"/>
            <w:u w:val="single" w:color="auto"/>
            <w:color w:val="0000EE"/>
          </w:rPr>
          <w:t>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0">
        <w:r>
          <w:rPr>
            <w:rFonts w:ascii="Times New Roman" w:cs="Times New Roman" w:eastAsia="Times New Roman" w:hAnsi="Times New Roman"/>
            <w:sz w:val="17"/>
            <w:szCs w:val="17"/>
            <w:u w:val="single" w:color="auto"/>
            <w:color w:val="0000EE"/>
          </w:rPr>
          <w:t>April 30,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1">
        <w:r>
          <w:rPr>
            <w:rFonts w:ascii="Times New Roman" w:cs="Times New Roman" w:eastAsia="Times New Roman" w:hAnsi="Times New Roman"/>
            <w:sz w:val="17"/>
            <w:szCs w:val="17"/>
            <w:u w:val="single" w:color="auto"/>
            <w:color w:val="0000EE"/>
          </w:rPr>
          <w:t>May 8,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2">
        <w:r>
          <w:rPr>
            <w:rFonts w:ascii="Times New Roman" w:cs="Times New Roman" w:eastAsia="Times New Roman" w:hAnsi="Times New Roman"/>
            <w:sz w:val="17"/>
            <w:szCs w:val="17"/>
            <w:u w:val="single" w:color="auto"/>
            <w:color w:val="0000EE"/>
          </w:rPr>
          <w:t>May 21,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3">
        <w:r>
          <w:rPr>
            <w:rFonts w:ascii="Times New Roman" w:cs="Times New Roman" w:eastAsia="Times New Roman" w:hAnsi="Times New Roman"/>
            <w:sz w:val="17"/>
            <w:szCs w:val="17"/>
            <w:u w:val="single" w:color="auto"/>
            <w:color w:val="0000EE"/>
          </w:rPr>
          <w:t>June 2, 2025</w:t>
        </w:r>
      </w:hyperlink>
      <w:hyperlink r:id="rId19">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w:hyperlink r:id="rId24">
        <w:r>
          <w:rPr>
            <w:rFonts w:ascii="Times New Roman" w:cs="Times New Roman" w:eastAsia="Times New Roman" w:hAnsi="Times New Roman"/>
            <w:sz w:val="17"/>
            <w:szCs w:val="17"/>
            <w:u w:val="single" w:color="auto"/>
            <w:color w:val="0000EE"/>
          </w:rPr>
          <w:t xml:space="preserve">July 1, 2025, </w:t>
        </w:r>
      </w:hyperlink>
      <w:hyperlink r:id="rId63">
        <w:r>
          <w:rPr>
            <w:rFonts w:ascii="Times New Roman" w:cs="Times New Roman" w:eastAsia="Times New Roman" w:hAnsi="Times New Roman"/>
            <w:sz w:val="17"/>
            <w:szCs w:val="17"/>
            <w:u w:val="single" w:color="auto"/>
            <w:color w:val="0000EE"/>
          </w:rPr>
          <w:t xml:space="preserve">September 23, 2025 </w:t>
        </w:r>
      </w:hyperlink>
      <w:hyperlink r:id="rId19">
        <w:r>
          <w:rPr>
            <w:rFonts w:ascii="Times New Roman" w:cs="Times New Roman" w:eastAsia="Times New Roman" w:hAnsi="Times New Roman"/>
            <w:sz w:val="17"/>
            <w:szCs w:val="17"/>
            <w:color w:val="000000"/>
          </w:rPr>
          <w:t>and</w:t>
        </w:r>
      </w:hyperlink>
      <w:r>
        <w:rPr>
          <w:rFonts w:ascii="Times New Roman" w:cs="Times New Roman" w:eastAsia="Times New Roman" w:hAnsi="Times New Roman"/>
          <w:sz w:val="17"/>
          <w:szCs w:val="17"/>
          <w:color w:val="0000EE"/>
        </w:rPr>
        <w:t xml:space="preserve"> </w:t>
      </w:r>
      <w:hyperlink r:id="rId64">
        <w:r>
          <w:rPr>
            <w:rFonts w:ascii="Times New Roman" w:cs="Times New Roman" w:eastAsia="Times New Roman" w:hAnsi="Times New Roman"/>
            <w:sz w:val="17"/>
            <w:szCs w:val="17"/>
            <w:u w:val="single" w:color="auto"/>
            <w:color w:val="0000EE"/>
          </w:rPr>
          <w:t>September 29, 2025</w:t>
        </w:r>
      </w:hyperlink>
      <w:r>
        <w:rPr>
          <w:rFonts w:ascii="Times New Roman" w:cs="Times New Roman" w:eastAsia="Times New Roman" w:hAnsi="Times New Roman"/>
          <w:sz w:val="17"/>
          <w:szCs w:val="17"/>
          <w:color w:val="000000"/>
        </w:rPr>
        <w:t>.</w:t>
      </w:r>
    </w:p>
    <w:p>
      <w:pPr>
        <w:spacing w:after="0" w:line="69" w:lineRule="exact"/>
        <w:rPr>
          <w:rFonts w:ascii="Times New Roman" w:cs="Times New Roman" w:eastAsia="Times New Roman" w:hAnsi="Times New Roman"/>
          <w:sz w:val="17"/>
          <w:szCs w:val="17"/>
          <w:color w:val="0000EE"/>
        </w:rPr>
      </w:pPr>
    </w:p>
    <w:p>
      <w:pPr>
        <w:jc w:val="both"/>
        <w:ind w:left="1280" w:right="659" w:hanging="319"/>
        <w:spacing w:after="0" w:line="256" w:lineRule="auto"/>
        <w:tabs>
          <w:tab w:leader="none" w:pos="12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Share Capital contained in our Registration Statement on Form 8-A, filed with the SEC on </w:t>
      </w:r>
      <w:hyperlink r:id="rId34">
        <w:r>
          <w:rPr>
            <w:rFonts w:ascii="Times New Roman" w:cs="Times New Roman" w:eastAsia="Times New Roman" w:hAnsi="Times New Roman"/>
            <w:sz w:val="17"/>
            <w:szCs w:val="17"/>
            <w:u w:val="single" w:color="auto"/>
            <w:color w:val="0000EE"/>
          </w:rPr>
          <w:t>June 14,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and any amendment or report filed with the SEC for the purpose of updating the description.</w:t>
      </w:r>
    </w:p>
    <w:p>
      <w:pPr>
        <w:spacing w:after="0" w:line="70" w:lineRule="exact"/>
        <w:rPr>
          <w:rFonts w:ascii="Times New Roman" w:cs="Times New Roman" w:eastAsia="Times New Roman" w:hAnsi="Times New Roman"/>
          <w:sz w:val="17"/>
          <w:szCs w:val="17"/>
          <w:color w:val="0000EE"/>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74" w:lineRule="exact"/>
        <w:rPr>
          <w:rFonts w:ascii="Times New Roman" w:cs="Times New Roman" w:eastAsia="Times New Roman" w:hAnsi="Times New Roman"/>
          <w:sz w:val="17"/>
          <w:szCs w:val="17"/>
          <w:color w:val="0000EE"/>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1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Attention: Secretary</w:t>
      </w:r>
    </w:p>
    <w:p>
      <w:pPr>
        <w:spacing w:after="0" w:line="2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ATAI Life Sciences N.V.</w:t>
      </w:r>
    </w:p>
    <w:p>
      <w:pPr>
        <w:spacing w:after="0" w:line="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Prof. J.H. Bavincklaan 7</w:t>
      </w:r>
    </w:p>
    <w:p>
      <w:pPr>
        <w:spacing w:after="0" w:line="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1183 AT Amstelveen</w:t>
      </w:r>
    </w:p>
    <w:p>
      <w:pPr>
        <w:spacing w:after="0" w:line="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color w:val="auto"/>
        </w:rPr>
        <w:t>The Netherlands</w:t>
      </w:r>
    </w:p>
    <w:p>
      <w:pPr>
        <w:spacing w:after="0" w:line="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color w:val="auto"/>
        </w:rPr>
        <w:t>+31 20 793 2536</w:t>
      </w:r>
    </w:p>
    <w:p>
      <w:pPr>
        <w:spacing w:after="0" w:line="86" w:lineRule="exact"/>
        <w:rPr>
          <w:sz w:val="20"/>
          <w:szCs w:val="20"/>
          <w:color w:val="auto"/>
        </w:rPr>
      </w:pPr>
    </w:p>
    <w:p>
      <w:pPr>
        <w:ind w:left="640" w:right="659" w:firstLine="331"/>
        <w:spacing w:after="0" w:line="268" w:lineRule="auto"/>
        <w:rPr>
          <w:sz w:val="20"/>
          <w:szCs w:val="20"/>
          <w:color w:val="auto"/>
        </w:rPr>
      </w:pPr>
      <w:r>
        <w:rPr>
          <w:rFonts w:ascii="Times New Roman" w:cs="Times New Roman" w:eastAsia="Times New Roman" w:hAnsi="Times New Roman"/>
          <w:sz w:val="17"/>
          <w:szCs w:val="17"/>
          <w:color w:val="auto"/>
        </w:rPr>
        <w:t>Exhibits to the filings will not be sent, however, unless those exhibits have specifically been incorporated by reference in this prospectus or any accompanying prospectus supplement.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7"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We are a clinical-stage biopharmaceutical company on a mission to develop highly effective mental health treatments to transform patient outcomes. Founded in 2018, atai emerged from the urgent need for better mental health solutions for patients who are under-served by current treatment options. We are advancing a pipeline of product candidates designed to address the complex nature of mental health disorders. We believe that these investigational compounds have the potential to become rapid-acting, durable, and commercially scalable therapies for mental health patients in need of new treatment options.</w:t>
      </w:r>
    </w:p>
    <w:p>
      <w:pPr>
        <w:spacing w:after="0" w:line="79"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Mental health disorders are highly prevalent and estimated to affect more than one billion people globally. The economic burden of these disorders is substantial and growing rapidly. Between 2009 and 2019, spending on mental health care in the United States increased by more than 50%, reaching $225 billion, and a Lancet Commission report estimates that the global economic cost will reach $16 trillion by 2030. While current treatments, such as selective serotonin reuptake inhibitors and serotonin-norepinephrine reuptake inhibitors are well established and effective for certain patients, approximately 65% of patients do not achieve remission of their symptoms after up to four antidepressant treatment trials, translating to a significant unmet medical need.</w:t>
      </w: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0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The statutory seat of ATAI Life Sciences N.V. is in Amsterdam, the Netherlands. Our office address and our principal executive office is located at Prof. J.H. Bavincklaan 7, 1183 AT Amstelveen, the Netherlands, and our telephone number is +31 20 793 2536. Our website address is https://atai.com. The information contained on, or that can be accessed from, our website does not form part of this document. References to our website address do not constitute incorporation by reference of the information contained on the website, and the information contained on the website is not part of this document or any other document that we file with or furnish to the Securities and Exchange Commission.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7"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Note Regarding Forward-Looking Statements” included in our most recent Annual Report on Form 10-K and any subsequent Quarterly Reports on Form 10-Q or Current Reports on Form 8-K. For more information about our SEC filings, please see “Where You Can Find More Information; Incorporation by Reference.”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7"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 We will not receive any of the proceeds from the sale of common shares being offered by any of the selling securityholders.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SHARE CAPITAL AND ARTICLES OF ASSOCIATION</w:t>
      </w:r>
    </w:p>
    <w:p>
      <w:pPr>
        <w:spacing w:after="0" w:line="105" w:lineRule="exact"/>
        <w:rPr>
          <w:sz w:val="20"/>
          <w:szCs w:val="20"/>
          <w:color w:val="auto"/>
        </w:rPr>
      </w:pPr>
    </w:p>
    <w:p>
      <w:pPr>
        <w:jc w:val="both"/>
        <w:ind w:left="640" w:right="639" w:firstLine="331"/>
        <w:spacing w:after="0" w:line="249" w:lineRule="auto"/>
        <w:rPr>
          <w:sz w:val="20"/>
          <w:szCs w:val="20"/>
          <w:color w:val="auto"/>
        </w:rPr>
      </w:pPr>
      <w:r>
        <w:rPr>
          <w:rFonts w:ascii="Times New Roman" w:cs="Times New Roman" w:eastAsia="Times New Roman" w:hAnsi="Times New Roman"/>
          <w:sz w:val="17"/>
          <w:szCs w:val="17"/>
          <w:i w:val="1"/>
          <w:iCs w:val="1"/>
          <w:color w:val="auto"/>
        </w:rPr>
        <w:t>The following description of our share capital, certain material provisions of our articles of association and relevant portions of Dutch law is not complete and may not contain all the information you should consider before investing in our share capital. This description is summarized from, and qualified in its entirety by reference to, our articles of association, which have been publicly filed with the SEC. See “Where You Can Find More Information; Incorporation by Reference.” This summary does not constitute legal advice regarding those matters and should not be regarded as such.</w:t>
      </w:r>
    </w:p>
    <w:p>
      <w:pPr>
        <w:spacing w:after="0" w:line="3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5" w:lineRule="exact"/>
        <w:rPr>
          <w:sz w:val="20"/>
          <w:szCs w:val="20"/>
          <w:color w:val="auto"/>
        </w:rPr>
      </w:pPr>
    </w:p>
    <w:p>
      <w:pPr>
        <w:jc w:val="both"/>
        <w:ind w:left="640" w:right="639" w:firstLine="331"/>
        <w:spacing w:after="0" w:line="249" w:lineRule="auto"/>
        <w:rPr>
          <w:sz w:val="20"/>
          <w:szCs w:val="20"/>
          <w:color w:val="auto"/>
        </w:rPr>
      </w:pPr>
      <w:r>
        <w:rPr>
          <w:rFonts w:ascii="Times New Roman" w:cs="Times New Roman" w:eastAsia="Times New Roman" w:hAnsi="Times New Roman"/>
          <w:sz w:val="17"/>
          <w:szCs w:val="17"/>
          <w:color w:val="auto"/>
        </w:rPr>
        <w:t>We are a Dutch a public company (</w:t>
      </w:r>
      <w:r>
        <w:rPr>
          <w:rFonts w:ascii="Times New Roman" w:cs="Times New Roman" w:eastAsia="Times New Roman" w:hAnsi="Times New Roman"/>
          <w:sz w:val="17"/>
          <w:szCs w:val="17"/>
          <w:i w:val="1"/>
          <w:iCs w:val="1"/>
          <w:color w:val="auto"/>
        </w:rPr>
        <w:t>naamloze vennootschap</w:t>
      </w:r>
      <w:r>
        <w:rPr>
          <w:rFonts w:ascii="Times New Roman" w:cs="Times New Roman" w:eastAsia="Times New Roman" w:hAnsi="Times New Roman"/>
          <w:sz w:val="17"/>
          <w:szCs w:val="17"/>
          <w:color w:val="auto"/>
        </w:rPr>
        <w:t>). Our corporate affairs are governed by the provisions of our articles of association, our corporate governance guidelines, our other internal rules, regulations and policies, as amended and restated from time to time, and by the provisions of applicable Dutch law. As provided in our articles of association, subject to Dutch law, we have full capacity to carry on or undertake any business or activity, do any act or enter into any transaction consistent with the objects specified in our articles of association, and, for such purposes, full rights, powers and privileges.</w:t>
      </w:r>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Share Capital</w:t>
      </w:r>
    </w:p>
    <w:p>
      <w:pPr>
        <w:spacing w:after="0" w:line="107"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Under Dutch law, our authorized share capital is the maximum capital that we may issue without amending our articles of association. An amendment of our articles of association would require a resolution of the general meeting upon proposal by our board of directors. As of June 30, 2025, our authorized share capital amounted to €75,000,000, consisting of 750,000,000 shares, each with a nominal value of €0.10.</w:t>
      </w:r>
    </w:p>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Common Shares</w:t>
      </w:r>
    </w:p>
    <w:p>
      <w:pPr>
        <w:spacing w:after="0" w:line="1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following summarizes the main rights of holders of our common shares:</w:t>
      </w:r>
    </w:p>
    <w:p>
      <w:pPr>
        <w:spacing w:after="0" w:line="103" w:lineRule="exact"/>
        <w:rPr>
          <w:sz w:val="20"/>
          <w:szCs w:val="20"/>
          <w:color w:val="auto"/>
        </w:rPr>
      </w:pPr>
    </w:p>
    <w:p>
      <w:pPr>
        <w:ind w:left="1280" w:right="659" w:hanging="319"/>
        <w:spacing w:after="0" w:line="268" w:lineRule="auto"/>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common shares is entitled to one vote per share on all matters to be voted on by shareholders generally, including the appointment of directors;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cumulative voting rights;</w:t>
      </w:r>
    </w:p>
    <w:p>
      <w:pPr>
        <w:spacing w:after="0" w:line="102"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our common shares are entitled to dividends and other distributions as may be declared from time to time by us out of funds legally available for that purpose, if any;</w:t>
      </w:r>
    </w:p>
    <w:p>
      <w:pPr>
        <w:spacing w:after="0" w:line="60"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our liquidation and dissolution, the holders of common shares will be entitled to share ratably in the distribution of all of our assets remaining available for distribution after satisfaction of all our liabilities; and</w:t>
      </w:r>
    </w:p>
    <w:p>
      <w:pPr>
        <w:spacing w:after="0" w:line="69" w:lineRule="exact"/>
        <w:rPr>
          <w:rFonts w:ascii="Times New Roman" w:cs="Times New Roman" w:eastAsia="Times New Roman" w:hAnsi="Times New Roman"/>
          <w:sz w:val="17"/>
          <w:szCs w:val="17"/>
          <w:color w:val="auto"/>
        </w:rPr>
      </w:pPr>
    </w:p>
    <w:p>
      <w:pPr>
        <w:jc w:val="both"/>
        <w:ind w:left="1280" w:right="659" w:hanging="319"/>
        <w:spacing w:after="0" w:line="256" w:lineRule="auto"/>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our ordinary shares have pre-emption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Shareholders’ Register</w:t>
      </w:r>
    </w:p>
    <w:p>
      <w:pPr>
        <w:spacing w:after="0" w:line="10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Pursuant to Dutch law and our articles of association, we must keep our shareholders’ register accurate and current. Our board of directors keeps our shareholders’ register and records names and 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Times New Roman" w:cs="Times New Roman" w:eastAsia="Times New Roman" w:hAnsi="Times New Roman"/>
          <w:sz w:val="17"/>
          <w:szCs w:val="17"/>
          <w:i w:val="1"/>
          <w:iCs w:val="1"/>
          <w:color w:val="auto"/>
        </w:rPr>
        <w:t>vruchtgebruik</w:t>
      </w:r>
      <w:r>
        <w:rPr>
          <w:rFonts w:ascii="Times New Roman" w:cs="Times New Roman" w:eastAsia="Times New Roman" w:hAnsi="Times New Roman"/>
          <w:sz w:val="17"/>
          <w:szCs w:val="17"/>
          <w:color w:val="auto"/>
        </w:rPr>
        <w:t>) on registered shares belonging to another or a pledge (</w:t>
      </w:r>
      <w:r>
        <w:rPr>
          <w:rFonts w:ascii="Times New Roman" w:cs="Times New Roman" w:eastAsia="Times New Roman" w:hAnsi="Times New Roman"/>
          <w:sz w:val="17"/>
          <w:szCs w:val="17"/>
          <w:i w:val="1"/>
          <w:iCs w:val="1"/>
          <w:color w:val="auto"/>
        </w:rPr>
        <w:t>pandrecht</w:t>
      </w:r>
      <w:r>
        <w:rPr>
          <w:rFonts w:ascii="Times New Roman" w:cs="Times New Roman" w:eastAsia="Times New Roman" w:hAnsi="Times New Roman"/>
          <w:sz w:val="17"/>
          <w:szCs w:val="17"/>
          <w:color w:val="auto"/>
        </w:rPr>
        <w:t>) in respect of such shares. Our common shares shall be in registered form (</w:t>
      </w:r>
      <w:r>
        <w:rPr>
          <w:rFonts w:ascii="Times New Roman" w:cs="Times New Roman" w:eastAsia="Times New Roman" w:hAnsi="Times New Roman"/>
          <w:sz w:val="17"/>
          <w:szCs w:val="17"/>
          <w:i w:val="1"/>
          <w:iCs w:val="1"/>
          <w:color w:val="auto"/>
        </w:rPr>
        <w:t>op naam</w:t>
      </w:r>
      <w:r>
        <w:rPr>
          <w:rFonts w:ascii="Times New Roman" w:cs="Times New Roman" w:eastAsia="Times New Roman" w:hAnsi="Times New Roman"/>
          <w:sz w:val="17"/>
          <w:szCs w:val="17"/>
          <w:color w:val="auto"/>
        </w:rPr>
        <w:t>). We may issue share certificates (</w:t>
      </w:r>
      <w:r>
        <w:rPr>
          <w:rFonts w:ascii="Times New Roman" w:cs="Times New Roman" w:eastAsia="Times New Roman" w:hAnsi="Times New Roman"/>
          <w:sz w:val="17"/>
          <w:szCs w:val="17"/>
          <w:i w:val="1"/>
          <w:iCs w:val="1"/>
          <w:color w:val="auto"/>
        </w:rPr>
        <w:t>aandeelbewijzen</w:t>
      </w:r>
      <w:r>
        <w:rPr>
          <w:rFonts w:ascii="Times New Roman" w:cs="Times New Roman" w:eastAsia="Times New Roman" w:hAnsi="Times New Roman"/>
          <w:sz w:val="17"/>
          <w:szCs w:val="17"/>
          <w:color w:val="auto"/>
        </w:rPr>
        <w:t>) for registered shares in such form as may be approved by our board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Corporate Objectives</w:t>
      </w:r>
    </w:p>
    <w:p>
      <w:pPr>
        <w:spacing w:after="0" w:line="1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Pursuant to our articles of association, our main corporate objectives are:</w:t>
      </w:r>
    </w:p>
    <w:p>
      <w:pPr>
        <w:spacing w:after="0" w:line="103" w:lineRule="exact"/>
        <w:rPr>
          <w:sz w:val="20"/>
          <w:szCs w:val="20"/>
          <w:color w:val="auto"/>
        </w:rPr>
      </w:pPr>
    </w:p>
    <w:p>
      <w:pPr>
        <w:ind w:left="1280" w:right="639" w:hanging="319"/>
        <w:spacing w:after="0" w:line="268" w:lineRule="auto"/>
        <w:tabs>
          <w:tab w:leader="none" w:pos="12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worldwide develop biotech companies by utilizing a decentralized, technology and data-driven platform model to serve millions of people suffering from mental illness;</w:t>
      </w:r>
    </w:p>
    <w:p>
      <w:pPr>
        <w:spacing w:after="0" w:line="60"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acquire and efficiently develop innovative treatments that meet significant unmet medical needs and that lead to paradigm shifts in the field of mental health;</w:t>
      </w:r>
    </w:p>
    <w:p>
      <w:pPr>
        <w:spacing w:after="0" w:line="60"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incorporate, to participate in, to finance, to hold any other interest in and to conduct the management or supervision of other entities, companies, partnerships and businesses;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acquire, to manage, to invest, to exploit, to encumber and to dispose of assets and liabilities;</w:t>
      </w:r>
    </w:p>
    <w:p>
      <w:pPr>
        <w:spacing w:after="0" w:line="102"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furnish guarantees, to provide security, to warrant performance in any other way and to assume liability, whether jointly and severally or otherwise, in respect of obligations of Group Companies or other parties; and</w:t>
      </w:r>
    </w:p>
    <w:p>
      <w:pPr>
        <w:spacing w:after="0" w:line="69"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do anything which, in the widest sense, is connected with or may be conducive to the objects described above.</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the Rights to Own Securities</w:t>
      </w:r>
    </w:p>
    <w:p>
      <w:pPr>
        <w:spacing w:after="0" w:line="107"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Our common shares may be issued to individuals, corporations, trusts, estates of deceased individuals, partnerships and unincorporated associations of persons. Our articles of association contain no limitation on the rights to own our shares and no limitation on the rights of non-residents of the Netherlands or foreign shareholders to hold or exercise voting rights.</w:t>
      </w: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Limitation on Liability and Indemnification Matters</w:t>
      </w:r>
    </w:p>
    <w:p>
      <w:pPr>
        <w:spacing w:after="0" w:line="10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Under Dutch law, our directors may be held liable for damages in the event of improper or negligent performance of their duties. They may be held liable for damages to our company and to third parties for infringement of our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of directors. No indemnification under our articles of association shall be given to an indemnified person:</w:t>
      </w:r>
    </w:p>
    <w:p>
      <w:pPr>
        <w:spacing w:after="0" w:line="82" w:lineRule="exact"/>
        <w:rPr>
          <w:sz w:val="20"/>
          <w:szCs w:val="20"/>
          <w:color w:val="auto"/>
        </w:rPr>
      </w:pPr>
    </w:p>
    <w:p>
      <w:pPr>
        <w:jc w:val="both"/>
        <w:ind w:left="1280" w:right="639" w:hanging="319"/>
        <w:spacing w:after="0" w:line="250" w:lineRule="auto"/>
        <w:tabs>
          <w:tab w:leader="none" w:pos="12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74"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69" w:lineRule="exact"/>
        <w:rPr>
          <w:rFonts w:ascii="Times New Roman" w:cs="Times New Roman" w:eastAsia="Times New Roman" w:hAnsi="Times New Roman"/>
          <w:sz w:val="17"/>
          <w:szCs w:val="17"/>
          <w:color w:val="auto"/>
        </w:rPr>
      </w:pPr>
    </w:p>
    <w:p>
      <w:pPr>
        <w:jc w:val="both"/>
        <w:ind w:left="1280" w:right="639" w:hanging="319"/>
        <w:spacing w:after="0" w:line="250" w:lineRule="auto"/>
        <w:tabs>
          <w:tab w:leader="none" w:pos="12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proceedings brought by such indemnified person against our company, except for proceedings brought to enforce indemnification to which he or she is entitled pursuant to our articles of association, pursuant to an agreement between such indemnified person and our company which has been approved by our board of directors or pursuant to insurance taken out by our company for the benefit of such indemnified person; and</w:t>
      </w:r>
    </w:p>
    <w:p>
      <w:pPr>
        <w:spacing w:after="0" w:line="74"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financial losses, damages or expenses incurred in connection with a settlement of any proceedings effected without our prior consent.</w:t>
      </w:r>
    </w:p>
    <w:p>
      <w:pPr>
        <w:spacing w:after="0" w:line="60"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Under our articles of association, our board of directors may stipulate additional terms, conditions and restrictions in relation to the indemnification described above.</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Federal Forum Provision</w:t>
      </w:r>
    </w:p>
    <w:p>
      <w:pPr>
        <w:spacing w:after="0" w:line="107"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Our articles of association provide that, unless we consent in writing to the selection of an alternative forum, the sole and exclusive forum for any complaint asserting a cause of action arising under the U.S. Securities Act of 1933, as amended, to the fullest extent permitted by applicable law, shall be the U.S. federal district courts.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Shareholders’ Meetings</w:t>
      </w:r>
    </w:p>
    <w:p>
      <w:pPr>
        <w:spacing w:after="0" w:line="107"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General meetings must be held in the Netherlands, in any of the locations specified in our articles of association. The annual general meeting must be held within six months of the end of each financial year. Additional extraordinary general meetings may also be held, whenever considered appropriate by our board of directors and shall be held within three months after our board of directors has considered it to be likely that our shareholders’ equity (</w:t>
      </w:r>
      <w:r>
        <w:rPr>
          <w:rFonts w:ascii="Times New Roman" w:cs="Times New Roman" w:eastAsia="Times New Roman" w:hAnsi="Times New Roman"/>
          <w:sz w:val="17"/>
          <w:szCs w:val="17"/>
          <w:i w:val="1"/>
          <w:iCs w:val="1"/>
          <w:color w:val="auto"/>
        </w:rPr>
        <w:t>eigen vermogen</w:t>
      </w:r>
      <w:r>
        <w:rPr>
          <w:rFonts w:ascii="Times New Roman" w:cs="Times New Roman" w:eastAsia="Times New Roman" w:hAnsi="Times New Roman"/>
          <w:sz w:val="17"/>
          <w:szCs w:val="17"/>
          <w:color w:val="auto"/>
        </w:rPr>
        <w:t>) has decreased to an amount equal to or lower than half of our paid-in and called up share capital, in order to discuss the measures to be taken if so required.</w:t>
      </w:r>
    </w:p>
    <w:p>
      <w:pPr>
        <w:spacing w:after="0" w:line="79"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of directors to convene a general meeting and our board of directors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84"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our statutory annual accounts, appropriation of our profits and proposals relating to the composition of our board of directors, including the filling of any vacancies. In addition, the agenda shall include such items as have been included therein by our board of directors. The agenda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81" w:lineRule="exact"/>
        <w:rPr>
          <w:sz w:val="20"/>
          <w:szCs w:val="20"/>
          <w:color w:val="auto"/>
        </w:rPr>
      </w:pPr>
    </w:p>
    <w:p>
      <w:pPr>
        <w:jc w:val="both"/>
        <w:ind w:left="640" w:right="639" w:firstLine="331"/>
        <w:spacing w:after="0" w:line="261" w:lineRule="auto"/>
        <w:rPr>
          <w:sz w:val="20"/>
          <w:szCs w:val="20"/>
          <w:color w:val="auto"/>
        </w:rPr>
      </w:pPr>
      <w:r>
        <w:rPr>
          <w:rFonts w:ascii="Times New Roman" w:cs="Times New Roman" w:eastAsia="Times New Roman" w:hAnsi="Times New Roman"/>
          <w:sz w:val="16"/>
          <w:szCs w:val="16"/>
          <w:color w:val="auto"/>
        </w:rPr>
        <w:t>In accordance with the Dutch Corporate Governance Code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of directors must be given the opportunity to invoke a reasonable period of up to 180 days to respond to the shareholders’ intentions. If invoked, our board of directors must use such response period for further deliberation and constructive consultation, in any event with the shareholder(s) concerned and exploring alternatives. At the end of the response time, our board of directors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w:t>
      </w:r>
    </w:p>
    <w:p>
      <w:pPr>
        <w:spacing w:after="0" w:line="3" w:lineRule="exact"/>
        <w:rPr>
          <w:sz w:val="20"/>
          <w:szCs w:val="20"/>
          <w:color w:val="auto"/>
        </w:rPr>
      </w:pPr>
    </w:p>
    <w:p>
      <w:pPr>
        <w:ind w:left="640" w:right="659" w:hanging="10"/>
        <w:spacing w:after="0" w:line="247" w:lineRule="auto"/>
        <w:tabs>
          <w:tab w:leader="none" w:pos="88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situations where a shareholder holds at least 75% of our issued share capital as a consequence of a successful public bid.</w:t>
      </w:r>
    </w:p>
    <w:p>
      <w:pPr>
        <w:spacing w:after="0" w:line="77"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Moreover, our board of directors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 of directors. During a cooling-off period, our board of directors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of directors must publish a report in respect of its policy and conduct of affairs during the cooling-off period on our website. This report must remain available for inspection by shareholders and others with meeting rights under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spacing w:after="0" w:line="256" w:lineRule="auto"/>
        <w:rPr>
          <w:sz w:val="20"/>
          <w:szCs w:val="20"/>
          <w:color w:val="auto"/>
        </w:rPr>
      </w:pPr>
      <w:r>
        <w:rPr>
          <w:rFonts w:ascii="Times New Roman" w:cs="Times New Roman" w:eastAsia="Times New Roman" w:hAnsi="Times New Roman"/>
          <w:sz w:val="17"/>
          <w:szCs w:val="17"/>
          <w:color w:val="auto"/>
        </w:rPr>
        <w:t>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70" w:lineRule="exact"/>
        <w:rPr>
          <w:sz w:val="20"/>
          <w:szCs w:val="20"/>
          <w:color w:val="auto"/>
        </w:rPr>
      </w:pPr>
    </w:p>
    <w:p>
      <w:pPr>
        <w:jc w:val="both"/>
        <w:ind w:left="1280" w:right="659" w:hanging="319"/>
        <w:spacing w:after="0" w:line="256" w:lineRule="auto"/>
        <w:tabs>
          <w:tab w:leader="none" w:pos="1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in light of the circumstances at hand when the cooling-off period was invoked, could not reasonably have concluded that the relevant proposal or hostile offer constituted a material conflict with the interests of our company and its business;</w:t>
      </w:r>
    </w:p>
    <w:p>
      <w:pPr>
        <w:spacing w:after="0" w:line="69"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cannot reasonably believe that a continuation of the cooling-off period would contribute to careful policy-making; or</w:t>
      </w:r>
    </w:p>
    <w:p>
      <w:pPr>
        <w:spacing w:after="0" w:line="60" w:lineRule="exact"/>
        <w:rPr>
          <w:rFonts w:ascii="Times New Roman" w:cs="Times New Roman" w:eastAsia="Times New Roman" w:hAnsi="Times New Roman"/>
          <w:sz w:val="17"/>
          <w:szCs w:val="17"/>
          <w:color w:val="auto"/>
        </w:rPr>
      </w:pPr>
    </w:p>
    <w:p>
      <w:pPr>
        <w:jc w:val="both"/>
        <w:ind w:left="1280" w:right="659" w:hanging="319"/>
        <w:spacing w:after="0" w:line="256" w:lineRule="auto"/>
        <w:tabs>
          <w:tab w:leader="none" w:pos="1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70"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The general meeting is presided over by the chairperson of our board of directors. If no chairperson has been elected or if he or she is not present at the meeting, the general meeting shall be presided over by the vice-chairperson of our board of directors.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79" w:lineRule="exact"/>
        <w:rPr>
          <w:sz w:val="20"/>
          <w:szCs w:val="20"/>
          <w:color w:val="auto"/>
        </w:rPr>
      </w:pPr>
    </w:p>
    <w:p>
      <w:pPr>
        <w:jc w:val="both"/>
        <w:ind w:left="640" w:right="639" w:firstLine="331"/>
        <w:spacing w:after="0" w:line="265" w:lineRule="auto"/>
        <w:rPr>
          <w:sz w:val="20"/>
          <w:szCs w:val="20"/>
          <w:color w:val="auto"/>
        </w:rPr>
      </w:pPr>
      <w:r>
        <w:rPr>
          <w:rFonts w:ascii="Times New Roman" w:cs="Times New Roman" w:eastAsia="Times New Roman" w:hAnsi="Times New Roman"/>
          <w:sz w:val="16"/>
          <w:szCs w:val="16"/>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68"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Times New Roman" w:cs="Times New Roman" w:eastAsia="Times New Roman" w:hAnsi="Times New Roman"/>
          <w:sz w:val="17"/>
          <w:szCs w:val="17"/>
          <w:i w:val="1"/>
          <w:iCs w:val="1"/>
          <w:color w:val="auto"/>
        </w:rPr>
        <w:t>vruchtgebruik</w:t>
      </w:r>
      <w:r>
        <w:rPr>
          <w:rFonts w:ascii="Times New Roman" w:cs="Times New Roman" w:eastAsia="Times New Roman" w:hAnsi="Times New Roman"/>
          <w:sz w:val="17"/>
          <w:szCs w:val="17"/>
          <w:color w:val="auto"/>
        </w:rPr>
        <w:t>) and the holders of a right of pledge (</w:t>
      </w:r>
      <w:r>
        <w:rPr>
          <w:rFonts w:ascii="Times New Roman" w:cs="Times New Roman" w:eastAsia="Times New Roman" w:hAnsi="Times New Roman"/>
          <w:sz w:val="17"/>
          <w:szCs w:val="17"/>
          <w:i w:val="1"/>
          <w:iCs w:val="1"/>
          <w:color w:val="auto"/>
        </w:rPr>
        <w:t>pandrecht</w:t>
      </w:r>
      <w:r>
        <w:rPr>
          <w:rFonts w:ascii="Times New Roman" w:cs="Times New Roman" w:eastAsia="Times New Roman" w:hAnsi="Times New Roman"/>
          <w:sz w:val="17"/>
          <w:szCs w:val="17"/>
          <w:color w:val="auto"/>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7"/>
          <w:szCs w:val="17"/>
          <w:i w:val="1"/>
          <w:iCs w:val="1"/>
          <w:color w:val="auto"/>
        </w:rPr>
        <w:t>vruchtgebruik</w:t>
      </w:r>
      <w:r>
        <w:rPr>
          <w:rFonts w:ascii="Times New Roman" w:cs="Times New Roman" w:eastAsia="Times New Roman" w:hAnsi="Times New Roman"/>
          <w:sz w:val="17"/>
          <w:szCs w:val="17"/>
          <w:color w:val="auto"/>
        </w:rPr>
        <w:t>) or the right of pledge (</w:t>
      </w:r>
      <w:r>
        <w:rPr>
          <w:rFonts w:ascii="Times New Roman" w:cs="Times New Roman" w:eastAsia="Times New Roman" w:hAnsi="Times New Roman"/>
          <w:sz w:val="17"/>
          <w:szCs w:val="17"/>
          <w:i w:val="1"/>
          <w:iCs w:val="1"/>
          <w:color w:val="auto"/>
        </w:rPr>
        <w:t>pandrecht</w:t>
      </w:r>
      <w:r>
        <w:rPr>
          <w:rFonts w:ascii="Times New Roman" w:cs="Times New Roman" w:eastAsia="Times New Roman" w:hAnsi="Times New Roman"/>
          <w:sz w:val="17"/>
          <w:szCs w:val="17"/>
          <w:color w:val="auto"/>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7"/>
          <w:szCs w:val="17"/>
          <w:i w:val="1"/>
          <w:iCs w:val="1"/>
          <w:color w:val="auto"/>
        </w:rPr>
        <w:t>vruchtgebruik</w:t>
      </w:r>
      <w:r>
        <w:rPr>
          <w:rFonts w:ascii="Times New Roman" w:cs="Times New Roman" w:eastAsia="Times New Roman" w:hAnsi="Times New Roman"/>
          <w:sz w:val="17"/>
          <w:szCs w:val="17"/>
          <w:color w:val="auto"/>
        </w:rPr>
        <w:t>) or a right of pledge (</w:t>
      </w:r>
      <w:r>
        <w:rPr>
          <w:rFonts w:ascii="Times New Roman" w:cs="Times New Roman" w:eastAsia="Times New Roman" w:hAnsi="Times New Roman"/>
          <w:sz w:val="17"/>
          <w:szCs w:val="17"/>
          <w:i w:val="1"/>
          <w:iCs w:val="1"/>
          <w:color w:val="auto"/>
        </w:rPr>
        <w:t>pandrecht</w:t>
      </w:r>
      <w:r>
        <w:rPr>
          <w:rFonts w:ascii="Times New Roman" w:cs="Times New Roman" w:eastAsia="Times New Roman" w:hAnsi="Times New Roman"/>
          <w:sz w:val="17"/>
          <w:szCs w:val="17"/>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81"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 At the date of this prospectus, applicable securities and listing rules require that any general meeting we hold will require a quorum of 33 1/3 % of the outstanding ordinary shares.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Appointment of Directors</w:t>
      </w:r>
    </w:p>
    <w:p>
      <w:pPr>
        <w:spacing w:after="0" w:line="105" w:lineRule="exact"/>
        <w:rPr>
          <w:sz w:val="20"/>
          <w:szCs w:val="20"/>
          <w:color w:val="auto"/>
        </w:rPr>
      </w:pPr>
    </w:p>
    <w:p>
      <w:pPr>
        <w:jc w:val="both"/>
        <w:ind w:left="640" w:right="639" w:firstLine="331"/>
        <w:spacing w:after="0" w:line="272" w:lineRule="auto"/>
        <w:rPr>
          <w:sz w:val="20"/>
          <w:szCs w:val="20"/>
          <w:color w:val="auto"/>
        </w:rPr>
      </w:pPr>
      <w:r>
        <w:rPr>
          <w:rFonts w:ascii="Times New Roman" w:cs="Times New Roman" w:eastAsia="Times New Roman" w:hAnsi="Times New Roman"/>
          <w:sz w:val="16"/>
          <w:szCs w:val="16"/>
          <w:color w:val="auto"/>
        </w:rPr>
        <w:t>Our directors are appointed by the general meeting upon binding nomination by our board of directors.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our board of directors shall make a new nomination.</w:t>
      </w:r>
    </w:p>
    <w:p>
      <w:pPr>
        <w:spacing w:after="0" w:line="60" w:lineRule="exact"/>
        <w:rPr>
          <w:sz w:val="20"/>
          <w:szCs w:val="20"/>
          <w:color w:val="auto"/>
        </w:rPr>
      </w:pPr>
    </w:p>
    <w:p>
      <w:pPr>
        <w:jc w:val="both"/>
        <w:ind w:left="640" w:right="659" w:firstLine="331"/>
        <w:spacing w:after="0" w:line="268" w:lineRule="auto"/>
        <w:rPr>
          <w:sz w:val="20"/>
          <w:szCs w:val="20"/>
          <w:color w:val="auto"/>
        </w:rPr>
      </w:pPr>
      <w:r>
        <w:rPr>
          <w:rFonts w:ascii="Times New Roman" w:cs="Times New Roman" w:eastAsia="Times New Roman" w:hAnsi="Times New Roman"/>
          <w:sz w:val="17"/>
          <w:szCs w:val="17"/>
          <w:color w:val="auto"/>
        </w:rPr>
        <w:t>At a general meeting, a resolution to appoint a director can only be passed in respect of candidates whose names are stated for that purpose in the agenda of that general meeting or in the explanatory notes thereto.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Our board of directors has adopted a profile for the composition of our non-executive directors. Our board of directors shall make any nomination for the appointment of a director with due regard to the rules and principles set forth in our corporate governance guidelines and this profile, as applicable.</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Duties and Liabilities of Directors</w:t>
      </w:r>
    </w:p>
    <w:p>
      <w:pPr>
        <w:spacing w:after="0" w:line="105" w:lineRule="exact"/>
        <w:rPr>
          <w:sz w:val="20"/>
          <w:szCs w:val="20"/>
          <w:color w:val="auto"/>
        </w:rPr>
      </w:pPr>
    </w:p>
    <w:p>
      <w:pPr>
        <w:jc w:val="both"/>
        <w:ind w:left="640" w:right="639" w:firstLine="331"/>
        <w:spacing w:after="0" w:line="263" w:lineRule="auto"/>
        <w:rPr>
          <w:sz w:val="20"/>
          <w:szCs w:val="20"/>
          <w:color w:val="auto"/>
        </w:rPr>
      </w:pPr>
      <w:r>
        <w:rPr>
          <w:rFonts w:ascii="Times New Roman" w:cs="Times New Roman" w:eastAsia="Times New Roman" w:hAnsi="Times New Roman"/>
          <w:sz w:val="16"/>
          <w:szCs w:val="16"/>
          <w:color w:val="auto"/>
        </w:rPr>
        <w:t>Under Dutch law, our board of directors is charged with the management of the company, which includes setting the company’s policies and strategy, subject to the restrictions contained in our articles of association. Our executive directors manage our day-to-day business and operations and implement our strategy. Our non-executive directors focus on the supervision on the policy and functioning of the performance of the duties of all of our directors and our general state of affairs. Our directors may divide their tasks among themselves in or pursuant to internal rules. Each directors has a statutory duty to act in the corporate interest of our company and its business. Under Dutch law, the corporate interest extends to the interests of all corporate stakeholders, such as shareholders, creditors, employees, customers and suppliers. The duty to act in the corporate interest of our company also applies in the event of a proposed sale or break-up of our company, provided that the circumstances generally dictate how such duty is to be applied and how the respective interests of various groups of stakeholders should be weighed.</w:t>
      </w:r>
    </w:p>
    <w:p>
      <w:pPr>
        <w:spacing w:after="0" w:line="70"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Our board of directors is entitled to represent our company. The power to represent our company also vests in our Chief Executive Officer, as well as in any other two executive directors acting jointly.</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Dividends and Other Distributions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05"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Under Dutch law, we may only pay dividends and other distributions from our reserves to the extent our shareholders’ equity (</w:t>
      </w:r>
      <w:r>
        <w:rPr>
          <w:rFonts w:ascii="Times New Roman" w:cs="Times New Roman" w:eastAsia="Times New Roman" w:hAnsi="Times New Roman"/>
          <w:sz w:val="17"/>
          <w:szCs w:val="17"/>
          <w:i w:val="1"/>
          <w:iCs w:val="1"/>
          <w:color w:val="auto"/>
        </w:rPr>
        <w:t>eigen vermogen</w:t>
      </w:r>
      <w:r>
        <w:rPr>
          <w:rFonts w:ascii="Times New Roman" w:cs="Times New Roman" w:eastAsia="Times New Roman" w:hAnsi="Times New Roman"/>
          <w:sz w:val="17"/>
          <w:szCs w:val="17"/>
          <w:color w:val="auto"/>
        </w:rPr>
        <w:t>) exceeds the sum of our paid-in and called-up share capital plus the reserves we must maintain under Dutch law or our articles of association and (if it concerns a distribution of profits) after adoption of our statutory annual accounts by our general meeting from which it appears that such dividend distribution is allowed.</w:t>
      </w:r>
    </w:p>
    <w:p>
      <w:pPr>
        <w:spacing w:after="0" w:line="75"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Under our articles of association as they will read upon the date of this prospectus, our board of directors may decide that all or part of the profits shown in our adopted statutory annual accounts will be added to our reserves. After reservation of any such profits, any remaining profits will be at the disposal of the general meeting at the proposal of our board of directors for distribution on our ordinary shares, subject to applicable restrictions of Dutch law. Our board of directors is permitted, subject to certain requirements and applicable restrictions of Dutch law, to declare interim dividends without the approval of our general meeting. Dividends and other distributions shall be made payable no later than a date determined by us.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7"/>
          <w:szCs w:val="17"/>
          <w:i w:val="1"/>
          <w:iCs w:val="1"/>
          <w:color w:val="auto"/>
        </w:rPr>
        <w:t>verjaring</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Exchange Controls</w:t>
      </w:r>
    </w:p>
    <w:p>
      <w:pPr>
        <w:spacing w:after="0" w:line="105" w:lineRule="exact"/>
        <w:rPr>
          <w:sz w:val="20"/>
          <w:szCs w:val="20"/>
          <w:color w:val="auto"/>
        </w:rPr>
      </w:pPr>
    </w:p>
    <w:p>
      <w:pPr>
        <w:jc w:val="both"/>
        <w:ind w:left="640" w:right="639" w:firstLine="331"/>
        <w:spacing w:after="0" w:line="265" w:lineRule="auto"/>
        <w:rPr>
          <w:sz w:val="20"/>
          <w:szCs w:val="20"/>
          <w:color w:val="auto"/>
        </w:rPr>
      </w:pPr>
      <w:r>
        <w:rPr>
          <w:rFonts w:ascii="Times New Roman" w:cs="Times New Roman" w:eastAsia="Times New Roman" w:hAnsi="Times New Roman"/>
          <w:sz w:val="16"/>
          <w:szCs w:val="16"/>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6"/>
          <w:szCs w:val="16"/>
          <w:i w:val="1"/>
          <w:iCs w:val="1"/>
          <w:color w:val="auto"/>
        </w:rPr>
        <w:t>Sanctiewet</w:t>
      </w:r>
      <w:r>
        <w:rPr>
          <w:rFonts w:ascii="Times New Roman" w:cs="Times New Roman" w:eastAsia="Times New Roman" w:hAnsi="Times New Roman"/>
          <w:sz w:val="16"/>
          <w:szCs w:val="16"/>
          <w:color w:val="auto"/>
        </w:rPr>
        <w:t xml:space="preserve"> 1977)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our articles of association or Dutch law that limit the right of shareholders who are not citizens or residents of the Netherlands to hold or vote shares.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Squeeze-Out Procedures</w:t>
      </w:r>
    </w:p>
    <w:p>
      <w:pPr>
        <w:spacing w:after="0" w:line="105"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Times New Roman" w:cs="Times New Roman" w:eastAsia="Times New Roman" w:hAnsi="Times New Roman"/>
          <w:sz w:val="17"/>
          <w:szCs w:val="17"/>
          <w:i w:val="1"/>
          <w:iCs w:val="1"/>
          <w:color w:val="auto"/>
        </w:rPr>
        <w:t>Wetboek van Burgerlijke Rechtsvordering</w:t>
      </w:r>
      <w:r>
        <w:rPr>
          <w:rFonts w:ascii="Times New Roman" w:cs="Times New Roman" w:eastAsia="Times New Roman" w:hAnsi="Times New Roman"/>
          <w:sz w:val="17"/>
          <w:szCs w:val="17"/>
          <w:color w:val="auto"/>
        </w:rPr>
        <w:t>). The Enterprise Chamber may grant the claim for squeeze-out in relation to the other shareholders and will determine the price to be paid for the shares, if necessary, after appointment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spacing w:after="0" w:line="250" w:lineRule="auto"/>
        <w:rPr>
          <w:sz w:val="20"/>
          <w:szCs w:val="20"/>
          <w:color w:val="auto"/>
        </w:rPr>
      </w:pPr>
      <w:r>
        <w:rPr>
          <w:rFonts w:ascii="Times New Roman" w:cs="Times New Roman" w:eastAsia="Times New Roman" w:hAnsi="Times New Roman"/>
          <w:sz w:val="17"/>
          <w:szCs w:val="17"/>
          <w:color w:val="auto"/>
        </w:rPr>
        <w:t>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Dissolution and Liquidation</w:t>
      </w:r>
    </w:p>
    <w:p>
      <w:pPr>
        <w:spacing w:after="0" w:line="107"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Under our articles of association, we may be dissolved by a resolution of the general meeting, subject to a proposal of our board of directors. In the event of a dissolution, the liquidation shall be effected by our board of directors, unless our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w:t>
      </w:r>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Dutch Corporate Governance Code</w:t>
      </w:r>
    </w:p>
    <w:p>
      <w:pPr>
        <w:spacing w:after="0" w:line="105"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As a listed Dutch public company (</w:t>
      </w:r>
      <w:r>
        <w:rPr>
          <w:rFonts w:ascii="Times New Roman" w:cs="Times New Roman" w:eastAsia="Times New Roman" w:hAnsi="Times New Roman"/>
          <w:sz w:val="17"/>
          <w:szCs w:val="17"/>
          <w:i w:val="1"/>
          <w:iCs w:val="1"/>
          <w:color w:val="auto"/>
        </w:rPr>
        <w:t>naamloze vennootschap</w:t>
      </w:r>
      <w:r>
        <w:rPr>
          <w:rFonts w:ascii="Times New Roman" w:cs="Times New Roman" w:eastAsia="Times New Roman" w:hAnsi="Times New Roman"/>
          <w:sz w:val="17"/>
          <w:szCs w:val="17"/>
          <w:color w:val="auto"/>
        </w:rPr>
        <w:t>), we will be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statutory annual reports whether they comply with the provisions of the DCGC. If a company subject to the DCGC does not comply with those provisions, that company would be required to give the reasons for such non-compliance.</w:t>
      </w:r>
    </w:p>
    <w:p>
      <w:pPr>
        <w:spacing w:after="0" w:line="78" w:lineRule="exact"/>
        <w:rPr>
          <w:sz w:val="20"/>
          <w:szCs w:val="20"/>
          <w:color w:val="auto"/>
        </w:rPr>
      </w:pPr>
    </w:p>
    <w:p>
      <w:pPr>
        <w:jc w:val="both"/>
        <w:ind w:left="640" w:right="659" w:firstLine="331"/>
        <w:spacing w:after="0" w:line="268" w:lineRule="auto"/>
        <w:rPr>
          <w:sz w:val="20"/>
          <w:szCs w:val="20"/>
          <w:color w:val="auto"/>
        </w:rPr>
      </w:pPr>
      <w:r>
        <w:rPr>
          <w:rFonts w:ascii="Times New Roman" w:cs="Times New Roman" w:eastAsia="Times New Roman" w:hAnsi="Times New Roman"/>
          <w:sz w:val="17"/>
          <w:szCs w:val="17"/>
          <w:color w:val="auto"/>
        </w:rPr>
        <w:t>We do not comply with best practice provisions of the DCGC, including in order to follow market practice or governance practices in the United States.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Dutch Financial Reporting Supervision Act</w:t>
      </w:r>
    </w:p>
    <w:p>
      <w:pPr>
        <w:spacing w:after="0" w:line="105"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On the basis of the Dutch Financial Reporting Supervision Act (</w:t>
      </w:r>
      <w:r>
        <w:rPr>
          <w:rFonts w:ascii="Times New Roman" w:cs="Times New Roman" w:eastAsia="Times New Roman" w:hAnsi="Times New Roman"/>
          <w:sz w:val="17"/>
          <w:szCs w:val="17"/>
          <w:i w:val="1"/>
          <w:iCs w:val="1"/>
          <w:color w:val="auto"/>
        </w:rPr>
        <w:t>Wet toezicht financiële verslaggeving</w:t>
      </w:r>
      <w:r>
        <w:rPr>
          <w:rFonts w:ascii="Times New Roman" w:cs="Times New Roman" w:eastAsia="Times New Roman" w:hAnsi="Times New Roman"/>
          <w:sz w:val="17"/>
          <w:szCs w:val="17"/>
          <w:color w:val="auto"/>
        </w:rPr>
        <w:t>), or the FRSA, the Dutch Authority for the Financial Markets (</w:t>
      </w:r>
      <w:r>
        <w:rPr>
          <w:rFonts w:ascii="Times New Roman" w:cs="Times New Roman" w:eastAsia="Times New Roman" w:hAnsi="Times New Roman"/>
          <w:sz w:val="17"/>
          <w:szCs w:val="17"/>
          <w:i w:val="1"/>
          <w:iCs w:val="1"/>
          <w:color w:val="auto"/>
        </w:rPr>
        <w:t>Stichting Autoriteit Financiële Markten</w:t>
      </w:r>
      <w:r>
        <w:rPr>
          <w:rFonts w:ascii="Times New Roman" w:cs="Times New Roman" w:eastAsia="Times New Roman" w:hAnsi="Times New Roman"/>
          <w:sz w:val="17"/>
          <w:szCs w:val="17"/>
          <w:color w:val="auto"/>
        </w:rPr>
        <w:t>), or AFM, supervises the application of financial reporting standards by Dutch companies whose securities are listed on a Dutch or foreign stock exchange.</w:t>
      </w:r>
    </w:p>
    <w:p>
      <w:pPr>
        <w:spacing w:after="0" w:line="75" w:lineRule="exact"/>
        <w:rPr>
          <w:sz w:val="20"/>
          <w:szCs w:val="20"/>
          <w:color w:val="auto"/>
        </w:rPr>
      </w:pPr>
    </w:p>
    <w:p>
      <w:pPr>
        <w:jc w:val="both"/>
        <w:ind w:left="640" w:right="639" w:firstLine="331"/>
        <w:spacing w:after="0" w:line="265" w:lineRule="auto"/>
        <w:rPr>
          <w:sz w:val="20"/>
          <w:szCs w:val="20"/>
          <w:color w:val="auto"/>
        </w:rPr>
      </w:pPr>
      <w:r>
        <w:rPr>
          <w:rFonts w:ascii="Times New Roman" w:cs="Times New Roman" w:eastAsia="Times New Roman" w:hAnsi="Times New Roman"/>
          <w:sz w:val="16"/>
          <w:szCs w:val="16"/>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 (ii) 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3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Our common shares are listed on the Nasdaq Global Market under the symbol “ATAI.”</w:t>
      </w:r>
    </w:p>
    <w:p>
      <w:pPr>
        <w:spacing w:after="0" w:line="3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transfer agent and registrar for our common shares is Computershare Trust Company, N.A.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07"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75"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73"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79"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As used in this section only, “atai” “we,” “our” or “us” refer to ATAI Life Sciences N.V. excluding our subsidiaries, unless expressly stated or the context otherwise requires.</w:t>
      </w:r>
    </w:p>
    <w:p>
      <w:pPr>
        <w:spacing w:after="0" w:line="3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7" w:lineRule="exact"/>
        <w:rPr>
          <w:sz w:val="20"/>
          <w:szCs w:val="20"/>
          <w:color w:val="auto"/>
        </w:rPr>
      </w:pPr>
    </w:p>
    <w:p>
      <w:pPr>
        <w:jc w:val="both"/>
        <w:ind w:left="640" w:right="639" w:firstLine="331"/>
        <w:spacing w:after="0" w:line="272" w:lineRule="auto"/>
        <w:rPr>
          <w:sz w:val="20"/>
          <w:szCs w:val="20"/>
          <w:color w:val="auto"/>
        </w:rPr>
      </w:pPr>
      <w:r>
        <w:rPr>
          <w:rFonts w:ascii="Times New Roman" w:cs="Times New Roman" w:eastAsia="Times New Roman" w:hAnsi="Times New Roman"/>
          <w:sz w:val="16"/>
          <w:szCs w:val="16"/>
          <w:color w:val="auto"/>
        </w:rPr>
        <w:t>The terms of each series of debt securities will be established by or pursuant to resolutions of our board of directors and set forth or determined in the manner provided in resolutions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60"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3" w:lineRule="exact"/>
        <w:rPr>
          <w:sz w:val="20"/>
          <w:szCs w:val="20"/>
          <w:color w:val="auto"/>
        </w:rPr>
      </w:pPr>
    </w:p>
    <w:p>
      <w:pPr>
        <w:ind w:left="1280" w:hanging="319"/>
        <w:spacing w:after="0"/>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ranking of the debt securities (including the terms of any subordination provisions);</w:t>
      </w:r>
    </w:p>
    <w:p>
      <w:pPr>
        <w:spacing w:after="0" w:line="102"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(expressed as a percentage of the principal amount) at which we will sell the debt securities;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on the aggregate principal amount of the debt securities;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the principal of the securities of the series is payable;</w:t>
      </w:r>
    </w:p>
    <w:p>
      <w:pPr>
        <w:spacing w:after="0" w:line="102" w:lineRule="exact"/>
        <w:rPr>
          <w:rFonts w:ascii="Times New Roman" w:cs="Times New Roman" w:eastAsia="Times New Roman" w:hAnsi="Times New Roman"/>
          <w:sz w:val="17"/>
          <w:szCs w:val="17"/>
          <w:color w:val="auto"/>
        </w:rPr>
      </w:pPr>
    </w:p>
    <w:p>
      <w:pPr>
        <w:jc w:val="both"/>
        <w:ind w:left="1280" w:right="639" w:hanging="319"/>
        <w:spacing w:after="0" w:line="250"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4" w:lineRule="exact"/>
        <w:rPr>
          <w:rFonts w:ascii="Times New Roman" w:cs="Times New Roman" w:eastAsia="Times New Roman" w:hAnsi="Times New Roman"/>
          <w:sz w:val="17"/>
          <w:szCs w:val="17"/>
          <w:color w:val="auto"/>
        </w:rPr>
      </w:pPr>
    </w:p>
    <w:p>
      <w:pPr>
        <w:jc w:val="both"/>
        <w:ind w:left="1280" w:right="639" w:hanging="319"/>
        <w:spacing w:after="0" w:line="252"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2"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period or periods within which, the price or prices at which and the terms and conditions upon which we may redeem the debt securities;</w:t>
      </w:r>
    </w:p>
    <w:p>
      <w:pPr>
        <w:spacing w:after="0" w:line="60" w:lineRule="exact"/>
        <w:rPr>
          <w:rFonts w:ascii="Times New Roman" w:cs="Times New Roman" w:eastAsia="Times New Roman" w:hAnsi="Times New Roman"/>
          <w:sz w:val="17"/>
          <w:szCs w:val="17"/>
          <w:color w:val="auto"/>
        </w:rPr>
      </w:pPr>
    </w:p>
    <w:p>
      <w:pPr>
        <w:jc w:val="both"/>
        <w:ind w:left="1280" w:right="639" w:hanging="319"/>
        <w:spacing w:after="0" w:line="252"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2"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and the price or prices at which we will repurchase debt securities at the option of the holders of debt securities and other detailed terms and provisions of these repurchase obligations;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1280" w:right="659" w:hanging="319"/>
        <w:spacing w:after="0" w:line="26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the debt securities will be issued, if other than denominations of $1,000 and any integral multiple thereof;</w:t>
      </w:r>
    </w:p>
    <w:p>
      <w:pPr>
        <w:spacing w:after="0" w:line="60"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the form of certificated debt securities or global debt securities;</w:t>
      </w:r>
    </w:p>
    <w:p>
      <w:pPr>
        <w:spacing w:after="0" w:line="60"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principal amount of the debt securities payable upon declaration of acceleration of the maturity date, if other than the principal amount;</w:t>
      </w:r>
    </w:p>
    <w:p>
      <w:pPr>
        <w:spacing w:after="0" w:line="60"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9"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currency, currencies or currency units in which payment of principal of, premium and interest on the debt securities will be made;</w:t>
      </w:r>
    </w:p>
    <w:p>
      <w:pPr>
        <w:spacing w:after="0" w:line="60"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9" w:lineRule="exact"/>
        <w:rPr>
          <w:rFonts w:ascii="Times New Roman" w:cs="Times New Roman" w:eastAsia="Times New Roman" w:hAnsi="Times New Roman"/>
          <w:sz w:val="17"/>
          <w:szCs w:val="17"/>
          <w:color w:val="auto"/>
        </w:rPr>
      </w:pPr>
    </w:p>
    <w:p>
      <w:pPr>
        <w:jc w:val="both"/>
        <w:ind w:left="1280" w:right="639" w:hanging="319"/>
        <w:spacing w:after="0" w:line="252"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relating to any security provided for the debt securities;</w:t>
      </w:r>
    </w:p>
    <w:p>
      <w:pPr>
        <w:spacing w:after="0" w:line="102"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9"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covenants described in this prospectus or in the indenture with respect to the debt securities;</w:t>
      </w:r>
    </w:p>
    <w:p>
      <w:pPr>
        <w:spacing w:after="0" w:line="60"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depositaries, interest rate calculation agents, exchange rate calculation agents or other agents with respect to the debt securities;</w:t>
      </w:r>
    </w:p>
    <w:p>
      <w:pPr>
        <w:spacing w:after="0" w:line="60" w:lineRule="exact"/>
        <w:rPr>
          <w:rFonts w:ascii="Times New Roman" w:cs="Times New Roman" w:eastAsia="Times New Roman" w:hAnsi="Times New Roman"/>
          <w:sz w:val="17"/>
          <w:szCs w:val="17"/>
          <w:color w:val="auto"/>
        </w:rPr>
      </w:pPr>
    </w:p>
    <w:p>
      <w:pPr>
        <w:jc w:val="both"/>
        <w:ind w:left="1280" w:right="639" w:hanging="319"/>
        <w:spacing w:after="0" w:line="252"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2"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9"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any of our direct or indirect subsidiaries will guarantee the debt securities of that series, including the terms of subordination, if any, of such guarantees. (Section 2.2)</w:t>
      </w:r>
    </w:p>
    <w:p>
      <w:pPr>
        <w:spacing w:after="0" w:line="60" w:lineRule="exact"/>
        <w:rPr>
          <w:sz w:val="20"/>
          <w:szCs w:val="20"/>
          <w:color w:val="auto"/>
        </w:rPr>
      </w:pPr>
    </w:p>
    <w:p>
      <w:pPr>
        <w:jc w:val="both"/>
        <w:ind w:left="640" w:right="659" w:firstLine="331"/>
        <w:spacing w:after="0" w:line="252" w:lineRule="auto"/>
        <w:rPr>
          <w:sz w:val="20"/>
          <w:szCs w:val="20"/>
          <w:color w:val="auto"/>
        </w:rPr>
      </w:pPr>
      <w:r>
        <w:rPr>
          <w:rFonts w:ascii="Times New Roman" w:cs="Times New Roman" w:eastAsia="Times New Roman" w:hAnsi="Times New Roman"/>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73"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Transfer and Exchange</w:t>
      </w:r>
    </w:p>
    <w:p>
      <w:pPr>
        <w:spacing w:after="0" w:line="107" w:lineRule="exact"/>
        <w:rPr>
          <w:sz w:val="20"/>
          <w:szCs w:val="20"/>
          <w:color w:val="auto"/>
        </w:rPr>
      </w:pPr>
    </w:p>
    <w:p>
      <w:pPr>
        <w:jc w:val="both"/>
        <w:ind w:left="640" w:right="639" w:firstLine="331"/>
        <w:spacing w:after="0" w:line="272" w:lineRule="auto"/>
        <w:rPr>
          <w:sz w:val="20"/>
          <w:szCs w:val="20"/>
          <w:color w:val="auto"/>
        </w:rPr>
      </w:pPr>
      <w:r>
        <w:rPr>
          <w:rFonts w:ascii="Times New Roman" w:cs="Times New Roman" w:eastAsia="Times New Roman" w:hAnsi="Times New Roman"/>
          <w:sz w:val="16"/>
          <w:szCs w:val="16"/>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59"/>
        <w:spacing w:after="0" w:line="268" w:lineRule="auto"/>
        <w:rPr>
          <w:sz w:val="20"/>
          <w:szCs w:val="20"/>
          <w:color w:val="auto"/>
        </w:rPr>
      </w:pPr>
      <w:r>
        <w:rPr>
          <w:rFonts w:ascii="Times New Roman" w:cs="Times New Roman" w:eastAsia="Times New Roman" w:hAnsi="Times New Roman"/>
          <w:sz w:val="17"/>
          <w:szCs w:val="17"/>
          <w:color w:val="auto"/>
        </w:rPr>
        <w:t>set forth in the applicable prospectus supplement. Except as set forth under the heading “Global Debt Securities and Book-Entry System” below, book-entry debt securities will not be issuable in certificated form.</w:t>
      </w:r>
    </w:p>
    <w:p>
      <w:pPr>
        <w:spacing w:after="0" w:line="58"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Certificated Debt Securities. </w:t>
      </w:r>
      <w:r>
        <w:rPr>
          <w:rFonts w:ascii="Times New Roman" w:cs="Times New Roman" w:eastAsia="Times New Roman" w:hAnsi="Times New Roman"/>
          <w:sz w:val="17"/>
          <w:szCs w:val="17"/>
          <w:color w:val="auto"/>
        </w:rPr>
        <w:t>You may transfer or exchange certificated debt securities at any office we maintain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75"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71" w:lineRule="exact"/>
        <w:rPr>
          <w:sz w:val="20"/>
          <w:szCs w:val="20"/>
          <w:color w:val="auto"/>
        </w:rPr>
      </w:pPr>
    </w:p>
    <w:p>
      <w:pPr>
        <w:jc w:val="both"/>
        <w:ind w:left="640" w:right="639" w:firstLine="331"/>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Global Debt Securities and Book-Entry System. </w:t>
      </w:r>
      <w:r>
        <w:rPr>
          <w:rFonts w:ascii="Times New Roman" w:cs="Times New Roman" w:eastAsia="Times New Roman" w:hAnsi="Times New Roman"/>
          <w:sz w:val="17"/>
          <w:szCs w:val="17"/>
          <w:color w:val="auto"/>
        </w:rPr>
        <w:t>Each global debt security representing book-entry debt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will be deposited with, or on behalf of, the Depositary, and registered in the name of the Depositary or a nominee of the Depositary. Please see “Global Securities.”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07"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We will set forth in the applicable prospectus supplement any restrictive covenants applicable to any issue of debt securities. (Article IV).</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 Protection in the Event of a Change of Control</w:t>
      </w:r>
    </w:p>
    <w:p>
      <w:pPr>
        <w:spacing w:after="0" w:line="107"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Consolidation, Merger and Sale of Assets</w:t>
      </w:r>
    </w:p>
    <w:p>
      <w:pPr>
        <w:spacing w:after="0" w:line="107"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We may not consolidate with or merge with or into, or convey, transfer or lease all or substantially all of our properties and assets to any person (a “successor person”) unless:</w:t>
      </w:r>
    </w:p>
    <w:p>
      <w:pPr>
        <w:spacing w:after="0" w:line="60" w:lineRule="exact"/>
        <w:rPr>
          <w:sz w:val="20"/>
          <w:szCs w:val="20"/>
          <w:color w:val="auto"/>
        </w:rPr>
      </w:pPr>
    </w:p>
    <w:p>
      <w:pPr>
        <w:jc w:val="both"/>
        <w:ind w:left="1280" w:right="639" w:hanging="319"/>
        <w:spacing w:after="0" w:line="256" w:lineRule="auto"/>
        <w:tabs>
          <w:tab w:leader="none" w:pos="12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the surviving entity or the successor person (if other than atai) is a corporation, partnership, trust or other entity organized and validly existing under the laws of the Netherlands and expressly assumes our obligations on the debt securities and under the indenture; and</w:t>
      </w:r>
    </w:p>
    <w:p>
      <w:pPr>
        <w:spacing w:after="0" w:line="69"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w:t>
      </w:r>
    </w:p>
    <w:p>
      <w:pPr>
        <w:spacing w:after="0" w:line="60" w:lineRule="exact"/>
        <w:rPr>
          <w:sz w:val="20"/>
          <w:szCs w:val="20"/>
          <w:color w:val="auto"/>
        </w:rPr>
      </w:pPr>
    </w:p>
    <w:p>
      <w:pPr>
        <w:ind w:left="640" w:right="659" w:firstLine="331"/>
        <w:spacing w:after="0" w:line="268" w:lineRule="auto"/>
        <w:rPr>
          <w:sz w:val="20"/>
          <w:szCs w:val="20"/>
          <w:color w:val="auto"/>
        </w:rPr>
      </w:pPr>
      <w:r>
        <w:rPr>
          <w:rFonts w:ascii="Times New Roman" w:cs="Times New Roman" w:eastAsia="Times New Roman" w:hAnsi="Times New Roman"/>
          <w:sz w:val="17"/>
          <w:szCs w:val="17"/>
          <w:color w:val="auto"/>
        </w:rPr>
        <w:t>Notwithstanding the above, any of our subsidiaries may consolidate with, merge into or transfer all or part of its properties to us. (Section 5.1)</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“Event of Default” means with respect to any series of debt securities, any of the following:</w:t>
      </w:r>
    </w:p>
    <w:p>
      <w:pPr>
        <w:spacing w:after="0" w:line="103" w:lineRule="exact"/>
        <w:rPr>
          <w:sz w:val="20"/>
          <w:szCs w:val="20"/>
          <w:color w:val="auto"/>
        </w:rPr>
      </w:pPr>
    </w:p>
    <w:p>
      <w:pPr>
        <w:jc w:val="both"/>
        <w:ind w:left="1280" w:right="639" w:hanging="319"/>
        <w:spacing w:after="0" w:line="279" w:lineRule="auto"/>
        <w:tabs>
          <w:tab w:leader="none" w:pos="12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53" w:lineRule="exact"/>
        <w:rPr>
          <w:rFonts w:ascii="Times New Roman" w:cs="Times New Roman" w:eastAsia="Times New Roman" w:hAnsi="Times New Roman"/>
          <w:sz w:val="16"/>
          <w:szCs w:val="16"/>
          <w:color w:val="auto"/>
        </w:rPr>
      </w:pPr>
    </w:p>
    <w:p>
      <w:pPr>
        <w:ind w:left="1280" w:hanging="319"/>
        <w:spacing w:after="0"/>
        <w:tabs>
          <w:tab w:leader="none" w:pos="12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principal of any security of that series at its maturity;</w:t>
      </w:r>
    </w:p>
    <w:p>
      <w:pPr>
        <w:spacing w:after="0" w:line="102" w:lineRule="exact"/>
        <w:rPr>
          <w:rFonts w:ascii="Times New Roman" w:cs="Times New Roman" w:eastAsia="Times New Roman" w:hAnsi="Times New Roman"/>
          <w:sz w:val="17"/>
          <w:szCs w:val="17"/>
          <w:color w:val="auto"/>
        </w:rPr>
      </w:pPr>
    </w:p>
    <w:p>
      <w:pPr>
        <w:jc w:val="both"/>
        <w:ind w:left="1280" w:right="639" w:hanging="319"/>
        <w:spacing w:after="0" w:line="269" w:lineRule="auto"/>
        <w:tabs>
          <w:tab w:leader="none" w:pos="12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atai and the trustee receive written notice from the holders of not less than 25% in principal amount of the outstanding debt securities of that series as provided in the indenture;</w:t>
      </w:r>
    </w:p>
    <w:p>
      <w:pPr>
        <w:spacing w:after="0" w:line="61" w:lineRule="exact"/>
        <w:rPr>
          <w:rFonts w:ascii="Times New Roman" w:cs="Times New Roman" w:eastAsia="Times New Roman" w:hAnsi="Times New Roman"/>
          <w:sz w:val="16"/>
          <w:szCs w:val="16"/>
          <w:color w:val="auto"/>
        </w:rPr>
      </w:pPr>
    </w:p>
    <w:p>
      <w:pPr>
        <w:ind w:left="1280" w:hanging="319"/>
        <w:spacing w:after="0"/>
        <w:tabs>
          <w:tab w:leader="none" w:pos="12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voluntary or involuntary events of bankruptcy, insolvency or reorganization of atai; or</w:t>
      </w:r>
    </w:p>
    <w:p>
      <w:pPr>
        <w:spacing w:after="0" w:line="102"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with respect to debt securities of that series that is described in the applicable prospectus supplement. (Section 6.1)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75" w:lineRule="exact"/>
        <w:rPr>
          <w:sz w:val="20"/>
          <w:szCs w:val="20"/>
          <w:color w:val="auto"/>
        </w:rPr>
      </w:pPr>
    </w:p>
    <w:p>
      <w:pPr>
        <w:jc w:val="both"/>
        <w:ind w:left="640" w:right="639" w:firstLine="331"/>
        <w:spacing w:after="0" w:line="279" w:lineRule="auto"/>
        <w:rPr>
          <w:sz w:val="20"/>
          <w:szCs w:val="20"/>
          <w:color w:val="auto"/>
        </w:rPr>
      </w:pPr>
      <w:r>
        <w:rPr>
          <w:rFonts w:ascii="Times New Roman" w:cs="Times New Roman" w:eastAsia="Times New Roman" w:hAnsi="Times New Roman"/>
          <w:sz w:val="16"/>
          <w:szCs w:val="16"/>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54" w:lineRule="exact"/>
        <w:rPr>
          <w:sz w:val="20"/>
          <w:szCs w:val="20"/>
          <w:color w:val="auto"/>
        </w:rPr>
      </w:pPr>
    </w:p>
    <w:p>
      <w:pPr>
        <w:jc w:val="both"/>
        <w:ind w:left="640" w:right="639" w:firstLine="331"/>
        <w:spacing w:after="0" w:line="261" w:lineRule="auto"/>
        <w:rPr>
          <w:sz w:val="20"/>
          <w:szCs w:val="20"/>
          <w:color w:val="auto"/>
        </w:rPr>
      </w:pPr>
      <w:r>
        <w:rPr>
          <w:rFonts w:ascii="Times New Roman" w:cs="Times New Roman" w:eastAsia="Times New Roman" w:hAnsi="Times New Roman"/>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7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82"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0" w:lineRule="exact"/>
        <w:rPr>
          <w:sz w:val="20"/>
          <w:szCs w:val="20"/>
          <w:color w:val="auto"/>
        </w:rPr>
      </w:pPr>
    </w:p>
    <w:p>
      <w:pPr>
        <w:ind w:left="1280" w:right="659" w:hanging="319"/>
        <w:spacing w:after="0" w:line="268" w:lineRule="auto"/>
        <w:tabs>
          <w:tab w:leader="none" w:pos="12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holder has previously given to the trustee written notice of a continuing Event of Default with respect to debt securities of that series; and</w:t>
      </w:r>
    </w:p>
    <w:p>
      <w:pPr>
        <w:spacing w:after="0" w:line="60" w:lineRule="exact"/>
        <w:rPr>
          <w:rFonts w:ascii="Times New Roman" w:cs="Times New Roman" w:eastAsia="Times New Roman" w:hAnsi="Times New Roman"/>
          <w:sz w:val="17"/>
          <w:szCs w:val="17"/>
          <w:color w:val="auto"/>
        </w:rPr>
      </w:pPr>
    </w:p>
    <w:p>
      <w:pPr>
        <w:jc w:val="both"/>
        <w:ind w:left="1280" w:right="639" w:hanging="319"/>
        <w:spacing w:after="0" w:line="250" w:lineRule="auto"/>
        <w:tabs>
          <w:tab w:leader="none" w:pos="12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75" w:lineRule="exact"/>
        <w:rPr>
          <w:sz w:val="20"/>
          <w:szCs w:val="20"/>
          <w:color w:val="auto"/>
        </w:rPr>
      </w:pPr>
    </w:p>
    <w:p>
      <w:pPr>
        <w:jc w:val="both"/>
        <w:ind w:left="640" w:right="639" w:firstLine="331"/>
        <w:spacing w:after="0" w:line="279" w:lineRule="auto"/>
        <w:rPr>
          <w:sz w:val="20"/>
          <w:szCs w:val="20"/>
          <w:color w:val="auto"/>
        </w:rPr>
      </w:pPr>
      <w:r>
        <w:rPr>
          <w:rFonts w:ascii="Times New Roman" w:cs="Times New Roman" w:eastAsia="Times New Roman" w:hAnsi="Times New Roman"/>
          <w:sz w:val="16"/>
          <w:szCs w:val="16"/>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54"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The indenture will require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07" w:lineRule="exact"/>
        <w:rPr>
          <w:sz w:val="20"/>
          <w:szCs w:val="20"/>
          <w:color w:val="auto"/>
        </w:rPr>
      </w:pPr>
    </w:p>
    <w:p>
      <w:pPr>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We and the trustee may modify, amend or supplement the indenture or the debt securities of any series without the consent of any holder of any debt security:</w:t>
      </w:r>
    </w:p>
    <w:p>
      <w:pPr>
        <w:spacing w:after="0" w:line="60" w:lineRule="exact"/>
        <w:rPr>
          <w:sz w:val="20"/>
          <w:szCs w:val="20"/>
          <w:color w:val="auto"/>
        </w:rPr>
      </w:pPr>
    </w:p>
    <w:p>
      <w:pPr>
        <w:ind w:left="1280" w:hanging="319"/>
        <w:spacing w:after="0"/>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w:t>
      </w:r>
    </w:p>
    <w:p>
      <w:pPr>
        <w:spacing w:after="0" w:line="102"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covenants in the indenture described above under the heading “Consolidation, Merger and Sale of Assets”;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securities in addition to or in place of certificated securities;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guarantees with respect to debt securities of any series or secure debt securities of any series;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surrender any of our rights or powers under the indenture;</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covenants or events of default for the benefit of the holders of debt securities of any series;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applicable procedures of the applicable depositary;</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holder of debt securities;</w:t>
      </w:r>
    </w:p>
    <w:p>
      <w:pPr>
        <w:spacing w:after="0" w:line="102"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debt securities of any series as permitted by the indenture;</w:t>
      </w:r>
    </w:p>
    <w:p>
      <w:pPr>
        <w:spacing w:after="0" w:line="60" w:lineRule="exact"/>
        <w:rPr>
          <w:rFonts w:ascii="Times New Roman" w:cs="Times New Roman" w:eastAsia="Times New Roman" w:hAnsi="Times New Roman"/>
          <w:sz w:val="17"/>
          <w:szCs w:val="17"/>
          <w:color w:val="auto"/>
        </w:rPr>
      </w:pPr>
    </w:p>
    <w:p>
      <w:pPr>
        <w:jc w:val="both"/>
        <w:ind w:left="1280" w:right="659" w:hanging="319"/>
        <w:spacing w:after="0" w:line="256" w:lineRule="auto"/>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9"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requirements of the SEC in order to effect or maintain the qualification of the indenture under the Trust Indenture Act. (Section 9.1)</w:t>
      </w:r>
    </w:p>
    <w:p>
      <w:pPr>
        <w:spacing w:after="0" w:line="60"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3" w:lineRule="exact"/>
        <w:rPr>
          <w:sz w:val="20"/>
          <w:szCs w:val="20"/>
          <w:color w:val="auto"/>
        </w:rPr>
      </w:pPr>
    </w:p>
    <w:p>
      <w:pPr>
        <w:ind w:left="1280" w:right="639" w:hanging="319"/>
        <w:spacing w:after="0" w:line="268" w:lineRule="auto"/>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debt securities whose holders must consent to an amendment, supplement or waiver;</w:t>
      </w:r>
    </w:p>
    <w:p>
      <w:pPr>
        <w:spacing w:after="0" w:line="60" w:lineRule="exact"/>
        <w:rPr>
          <w:rFonts w:ascii="Times New Roman" w:cs="Times New Roman" w:eastAsia="Times New Roman" w:hAnsi="Times New Roman"/>
          <w:sz w:val="17"/>
          <w:szCs w:val="17"/>
          <w:color w:val="auto"/>
        </w:rPr>
      </w:pPr>
    </w:p>
    <w:p>
      <w:pPr>
        <w:ind w:left="1280" w:right="1159" w:hanging="319"/>
        <w:spacing w:after="0" w:line="268" w:lineRule="auto"/>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for payment of interest (including default interest) on any debt security;</w:t>
      </w:r>
    </w:p>
    <w:p>
      <w:pPr>
        <w:spacing w:after="0" w:line="60" w:lineRule="exact"/>
        <w:rPr>
          <w:rFonts w:ascii="Times New Roman" w:cs="Times New Roman" w:eastAsia="Times New Roman" w:hAnsi="Times New Roman"/>
          <w:sz w:val="17"/>
          <w:szCs w:val="17"/>
          <w:color w:val="auto"/>
        </w:rPr>
      </w:pPr>
    </w:p>
    <w:p>
      <w:pPr>
        <w:jc w:val="both"/>
        <w:ind w:left="1280" w:right="639" w:hanging="319"/>
        <w:spacing w:after="0" w:line="256" w:lineRule="auto"/>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9"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discount securities payable upon acceleration of maturity;</w:t>
      </w:r>
    </w:p>
    <w:p>
      <w:pPr>
        <w:spacing w:after="0" w:line="102" w:lineRule="exact"/>
        <w:rPr>
          <w:rFonts w:ascii="Times New Roman" w:cs="Times New Roman" w:eastAsia="Times New Roman" w:hAnsi="Times New Roman"/>
          <w:sz w:val="17"/>
          <w:szCs w:val="17"/>
          <w:color w:val="auto"/>
        </w:rPr>
      </w:pPr>
    </w:p>
    <w:p>
      <w:pPr>
        <w:jc w:val="both"/>
        <w:ind w:left="1280" w:right="639" w:hanging="319"/>
        <w:spacing w:after="0" w:line="252" w:lineRule="auto"/>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2"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the principal of or premium or interest on any debt security payable in currency other than that stated in the debt security;</w:t>
      </w:r>
    </w:p>
    <w:p>
      <w:pPr>
        <w:spacing w:after="0" w:line="60" w:lineRule="exact"/>
        <w:rPr>
          <w:rFonts w:ascii="Times New Roman" w:cs="Times New Roman" w:eastAsia="Times New Roman" w:hAnsi="Times New Roman"/>
          <w:sz w:val="17"/>
          <w:szCs w:val="17"/>
          <w:color w:val="auto"/>
        </w:rPr>
      </w:pPr>
    </w:p>
    <w:p>
      <w:pPr>
        <w:jc w:val="both"/>
        <w:ind w:left="1280" w:right="659" w:hanging="319"/>
        <w:spacing w:after="0" w:line="279" w:lineRule="auto"/>
        <w:tabs>
          <w:tab w:leader="none" w:pos="12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53" w:lineRule="exact"/>
        <w:rPr>
          <w:rFonts w:ascii="Times New Roman" w:cs="Times New Roman" w:eastAsia="Times New Roman" w:hAnsi="Times New Roman"/>
          <w:sz w:val="16"/>
          <w:szCs w:val="16"/>
          <w:color w:val="auto"/>
        </w:rPr>
      </w:pPr>
    </w:p>
    <w:p>
      <w:pPr>
        <w:ind w:left="1280" w:right="659" w:hanging="319"/>
        <w:spacing w:after="0" w:line="268" w:lineRule="auto"/>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debt security, provided that such redemption is made at our option. (Section 9.3)</w:t>
      </w:r>
    </w:p>
    <w:p>
      <w:pPr>
        <w:spacing w:after="0" w:line="60"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spacing w:after="0" w:line="252" w:lineRule="auto"/>
        <w:rPr>
          <w:sz w:val="20"/>
          <w:szCs w:val="20"/>
          <w:color w:val="auto"/>
        </w:rPr>
      </w:pPr>
      <w:r>
        <w:rPr>
          <w:rFonts w:ascii="Times New Roman" w:cs="Times New Roman" w:eastAsia="Times New Roman" w:hAnsi="Times New Roman"/>
          <w:sz w:val="17"/>
          <w:szCs w:val="17"/>
          <w:color w:val="auto"/>
        </w:rPr>
        <w:t>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Defeasance of Debt Securities and Certain Covenants in Certain Circumstances</w:t>
      </w:r>
    </w:p>
    <w:p>
      <w:pPr>
        <w:spacing w:after="0" w:line="105"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Legal Defeasance. </w:t>
      </w:r>
      <w:r>
        <w:rPr>
          <w:rFonts w:ascii="Times New Roman" w:cs="Times New Roman" w:eastAsia="Times New Roman" w:hAnsi="Times New Roman"/>
          <w:sz w:val="17"/>
          <w:szCs w:val="17"/>
          <w:color w:val="auto"/>
        </w:rPr>
        <w:t>The indenture will provide that, unless otherwise provided by the terms of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84"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77" w:lineRule="exact"/>
        <w:rPr>
          <w:sz w:val="20"/>
          <w:szCs w:val="20"/>
          <w:color w:val="auto"/>
        </w:rPr>
      </w:pPr>
    </w:p>
    <w:p>
      <w:pPr>
        <w:jc w:val="both"/>
        <w:ind w:left="640" w:right="659" w:firstLine="331"/>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Defeasance of Certain Covenants. </w:t>
      </w:r>
      <w:r>
        <w:rPr>
          <w:rFonts w:ascii="Times New Roman" w:cs="Times New Roman" w:eastAsia="Times New Roman" w:hAnsi="Times New Roman"/>
          <w:sz w:val="17"/>
          <w:szCs w:val="17"/>
          <w:color w:val="auto"/>
        </w:rPr>
        <w:t>The indenture will provide that, unless otherwise provided by the terms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applicable series of debt securities, upon compliance with certain conditions:</w:t>
      </w:r>
    </w:p>
    <w:p>
      <w:pPr>
        <w:spacing w:after="0" w:line="59" w:lineRule="exact"/>
        <w:rPr>
          <w:sz w:val="20"/>
          <w:szCs w:val="20"/>
          <w:color w:val="auto"/>
        </w:rPr>
      </w:pPr>
    </w:p>
    <w:p>
      <w:pPr>
        <w:jc w:val="both"/>
        <w:ind w:left="1280" w:right="639" w:hanging="319"/>
        <w:spacing w:after="0" w:line="256" w:lineRule="auto"/>
        <w:tabs>
          <w:tab w:leader="none" w:pos="12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9"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omission to comply with those covenants will not constitute a Default or an Event of Default with respect to the debt securities of that series (“covenant defeasance”).</w:t>
      </w:r>
    </w:p>
    <w:p>
      <w:pPr>
        <w:spacing w:after="0" w:line="9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conditions include:</w:t>
      </w:r>
    </w:p>
    <w:p>
      <w:pPr>
        <w:spacing w:after="0" w:line="103" w:lineRule="exact"/>
        <w:rPr>
          <w:sz w:val="20"/>
          <w:szCs w:val="20"/>
          <w:color w:val="auto"/>
        </w:rPr>
      </w:pPr>
    </w:p>
    <w:p>
      <w:pPr>
        <w:jc w:val="both"/>
        <w:ind w:left="1280" w:right="639" w:hanging="319"/>
        <w:spacing w:after="0" w:line="247" w:lineRule="auto"/>
        <w:tabs>
          <w:tab w:leader="none" w:pos="12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9" w:lineRule="exact"/>
        <w:rPr>
          <w:rFonts w:ascii="Times New Roman" w:cs="Times New Roman" w:eastAsia="Times New Roman" w:hAnsi="Times New Roman"/>
          <w:sz w:val="17"/>
          <w:szCs w:val="17"/>
          <w:color w:val="auto"/>
        </w:rPr>
      </w:pPr>
    </w:p>
    <w:p>
      <w:pPr>
        <w:jc w:val="both"/>
        <w:ind w:left="1280" w:right="639" w:hanging="319"/>
        <w:spacing w:after="0" w:line="250" w:lineRule="auto"/>
        <w:tabs>
          <w:tab w:leader="none" w:pos="12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No Personal Liability of Directors, Officers, Employees or Securityholders</w:t>
      </w:r>
    </w:p>
    <w:p>
      <w:pPr>
        <w:spacing w:after="0" w:line="107"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07"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The indenture and the debt securities, including any claim or controversy arising out of or relating to the indenture or the securities, will be governed by the laws of the State of New York.</w:t>
      </w:r>
    </w:p>
    <w:p>
      <w:pPr>
        <w:spacing w:after="0" w:line="60"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73"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07"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We may issue warrants for the purchase of our common shares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w:t>
      </w:r>
    </w:p>
    <w:p>
      <w:pPr>
        <w:spacing w:after="0" w:line="73"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79"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The particular terms of any issue of warrants will be described in the prospectus supplement relating to the issue. Those terms may include:</w:t>
      </w:r>
    </w:p>
    <w:p>
      <w:pPr>
        <w:spacing w:after="0" w:line="60" w:lineRule="exact"/>
        <w:rPr>
          <w:sz w:val="20"/>
          <w:szCs w:val="20"/>
          <w:color w:val="auto"/>
        </w:rPr>
      </w:pPr>
    </w:p>
    <w:p>
      <w:pPr>
        <w:ind w:left="1280" w:right="659" w:hanging="319"/>
        <w:spacing w:after="0" w:line="268" w:lineRule="auto"/>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common shares purchasable upon the exercise of warrants to purchase such shares and the price at which such number of common shares may be purchased upon such exercise;</w:t>
      </w:r>
    </w:p>
    <w:p>
      <w:pPr>
        <w:spacing w:after="0" w:line="60"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debt securities that may be purchased upon exercise of a debt warrant and the exercise price for the warrants, which may be payable in cash, securities or other property;</w:t>
      </w:r>
    </w:p>
    <w:p>
      <w:pPr>
        <w:spacing w:after="0" w:line="60"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if any, on and after which the warrants and the related debt securities or common shares will be separately transferable;</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rights to redeem or call the warrants;</w:t>
      </w:r>
    </w:p>
    <w:p>
      <w:pPr>
        <w:spacing w:after="0" w:line="102"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warrants will commence and the date on which the right will expire;</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United States Federal income tax consequences applicable to the warrants; and</w:t>
      </w:r>
    </w:p>
    <w:p>
      <w:pPr>
        <w:spacing w:after="0" w:line="102"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exercise and settlement of the warrants.</w:t>
      </w:r>
    </w:p>
    <w:p>
      <w:pPr>
        <w:spacing w:after="0" w:line="1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Holders of warrants to purchase common shares will not be entitled:</w:t>
      </w:r>
    </w:p>
    <w:p>
      <w:pPr>
        <w:spacing w:after="0" w:line="103" w:lineRule="exact"/>
        <w:rPr>
          <w:sz w:val="20"/>
          <w:szCs w:val="20"/>
          <w:color w:val="auto"/>
        </w:rPr>
      </w:pPr>
    </w:p>
    <w:p>
      <w:pPr>
        <w:ind w:left="1280" w:hanging="319"/>
        <w:spacing w:after="0"/>
        <w:tabs>
          <w:tab w:leader="none" w:pos="12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consent or receive dividends, if any, or payments upon our liquidation or dissolution;</w:t>
      </w:r>
    </w:p>
    <w:p>
      <w:pPr>
        <w:spacing w:after="0" w:line="102"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notice as shareholders with respect to any general meeting for the appointment of our directors or any other matter; or</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any rights as shareholders of atai.</w:t>
      </w:r>
    </w:p>
    <w:p>
      <w:pPr>
        <w:spacing w:after="0" w:line="103" w:lineRule="exact"/>
        <w:rPr>
          <w:sz w:val="20"/>
          <w:szCs w:val="20"/>
          <w:color w:val="auto"/>
        </w:rPr>
      </w:pPr>
    </w:p>
    <w:p>
      <w:pPr>
        <w:jc w:val="both"/>
        <w:ind w:left="640" w:right="639" w:firstLine="331"/>
        <w:spacing w:after="0" w:line="269" w:lineRule="auto"/>
        <w:rPr>
          <w:sz w:val="20"/>
          <w:szCs w:val="20"/>
          <w:color w:val="auto"/>
        </w:rPr>
      </w:pPr>
      <w:r>
        <w:rPr>
          <w:rFonts w:ascii="Times New Roman" w:cs="Times New Roman" w:eastAsia="Times New Roman" w:hAnsi="Times New Roman"/>
          <w:sz w:val="16"/>
          <w:szCs w:val="16"/>
          <w:color w:val="auto"/>
        </w:rPr>
        <w:t>Each warrant will entitle its holder to purchase the principal amount of debt securities or the number of common shares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62"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shares are exercised, the holders of the warrants will not have any rights of holders of the underlying common shares, including any rights to receive dividends or payments upon any liquidation or dissolution on the common shares, if 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 w:name="page53"/>
    <w:bookmarkEnd w:id="52"/>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107"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75" w:lineRule="exact"/>
        <w:rPr>
          <w:sz w:val="20"/>
          <w:szCs w:val="20"/>
          <w:color w:val="auto"/>
        </w:rPr>
      </w:pPr>
    </w:p>
    <w:p>
      <w:pPr>
        <w:jc w:val="both"/>
        <w:ind w:left="640" w:right="639" w:firstLine="331"/>
        <w:spacing w:after="0" w:line="265" w:lineRule="auto"/>
        <w:rPr>
          <w:sz w:val="20"/>
          <w:szCs w:val="20"/>
          <w:color w:val="auto"/>
        </w:rPr>
      </w:pPr>
      <w:r>
        <w:rPr>
          <w:rFonts w:ascii="Times New Roman" w:cs="Times New Roman" w:eastAsia="Times New Roman" w:hAnsi="Times New Roman"/>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68" w:lineRule="exact"/>
        <w:rPr>
          <w:sz w:val="20"/>
          <w:szCs w:val="20"/>
          <w:color w:val="auto"/>
        </w:rPr>
      </w:pPr>
    </w:p>
    <w:p>
      <w:pPr>
        <w:jc w:val="both"/>
        <w:ind w:left="640" w:right="659" w:firstLine="331"/>
        <w:spacing w:after="0" w:line="268" w:lineRule="auto"/>
        <w:rPr>
          <w:sz w:val="20"/>
          <w:szCs w:val="20"/>
          <w:color w:val="auto"/>
        </w:rPr>
      </w:pPr>
      <w:r>
        <w:rPr>
          <w:rFonts w:ascii="Times New Roman" w:cs="Times New Roman" w:eastAsia="Times New Roman" w:hAnsi="Times New Roman"/>
          <w:sz w:val="17"/>
          <w:szCs w:val="17"/>
          <w:color w:val="auto"/>
        </w:rPr>
        <w:t>If we offer any units, certain terms of that series of units will be described in the applicable prospectus supplement, including, without limitation, the following, as applicable:</w:t>
      </w:r>
    </w:p>
    <w:p>
      <w:pPr>
        <w:spacing w:after="0" w:line="60" w:lineRule="exact"/>
        <w:rPr>
          <w:sz w:val="20"/>
          <w:szCs w:val="20"/>
          <w:color w:val="auto"/>
        </w:rPr>
      </w:pPr>
    </w:p>
    <w:p>
      <w:pPr>
        <w:ind w:left="1280" w:hanging="319"/>
        <w:spacing w:after="0"/>
        <w:tabs>
          <w:tab w:leader="none" w:pos="12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 of units;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and description of the separate constituent securities comprising the units;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at which the units will be issued;</w:t>
      </w:r>
    </w:p>
    <w:p>
      <w:pPr>
        <w:spacing w:after="0" w:line="102"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if any, on and after which the constituent securities comprising the units will be separately transferable;</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certain United States federal income tax considerations applicable to the units; and</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units and their constituent securities.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Book-Entry, Delivery and Form</w:t>
      </w:r>
    </w:p>
    <w:p>
      <w:pPr>
        <w:spacing w:after="0" w:line="107" w:lineRule="exact"/>
        <w:rPr>
          <w:sz w:val="20"/>
          <w:szCs w:val="20"/>
          <w:color w:val="auto"/>
        </w:rPr>
      </w:pPr>
    </w:p>
    <w:p>
      <w:pPr>
        <w:jc w:val="both"/>
        <w:ind w:left="640" w:right="639" w:firstLine="331"/>
        <w:spacing w:after="0" w:line="263" w:lineRule="auto"/>
        <w:rPr>
          <w:sz w:val="20"/>
          <w:szCs w:val="20"/>
          <w:color w:val="auto"/>
        </w:rPr>
      </w:pPr>
      <w:r>
        <w:rPr>
          <w:rFonts w:ascii="Times New Roman" w:cs="Times New Roman" w:eastAsia="Times New Roman" w:hAnsi="Times New Roman"/>
          <w:sz w:val="16"/>
          <w:szCs w:val="16"/>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These global securities, to the extent issued for our common shares, shall be share certificates (</w:t>
      </w:r>
      <w:r>
        <w:rPr>
          <w:rFonts w:ascii="Times New Roman" w:cs="Times New Roman" w:eastAsia="Times New Roman" w:hAnsi="Times New Roman"/>
          <w:sz w:val="16"/>
          <w:szCs w:val="16"/>
          <w:i w:val="1"/>
          <w:iCs w:val="1"/>
          <w:color w:val="auto"/>
        </w:rPr>
        <w:t>aandeelbewijzen</w:t>
      </w:r>
      <w:r>
        <w:rPr>
          <w:rFonts w:ascii="Times New Roman" w:cs="Times New Roman" w:eastAsia="Times New Roman" w:hAnsi="Times New Roman"/>
          <w:sz w:val="16"/>
          <w:szCs w:val="16"/>
          <w:color w:val="auto"/>
        </w:rPr>
        <w:t>) for registered shares under Dutch law, in accordance with our articles of association. The global securities will be deposited with, or on behalf of, The Depository Trust Company, New York, New York, as depositary, or DTC, and registered in the name of Cede &amp; Co., the nominee of DTC. Unless and until it is exchanged for individual certificates (such individual certificates, to the extent issued for our common shares, being share certificates (</w:t>
      </w:r>
      <w:r>
        <w:rPr>
          <w:rFonts w:ascii="Times New Roman" w:cs="Times New Roman" w:eastAsia="Times New Roman" w:hAnsi="Times New Roman"/>
          <w:sz w:val="16"/>
          <w:szCs w:val="16"/>
          <w:i w:val="1"/>
          <w:iCs w:val="1"/>
          <w:color w:val="auto"/>
        </w:rPr>
        <w:t>aandeelbewijzen</w:t>
      </w:r>
      <w:r>
        <w:rPr>
          <w:rFonts w:ascii="Times New Roman" w:cs="Times New Roman" w:eastAsia="Times New Roman" w:hAnsi="Times New Roman"/>
          <w:sz w:val="16"/>
          <w:szCs w:val="16"/>
          <w:color w:val="auto"/>
        </w:rPr>
        <w:t>) under Dutch law, in accordance with our articles of association)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0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DTC has advised us that it is:</w:t>
      </w:r>
    </w:p>
    <w:p>
      <w:pPr>
        <w:spacing w:after="0" w:line="103" w:lineRule="exact"/>
        <w:rPr>
          <w:sz w:val="20"/>
          <w:szCs w:val="20"/>
          <w:color w:val="auto"/>
        </w:rPr>
      </w:pPr>
    </w:p>
    <w:p>
      <w:pPr>
        <w:ind w:left="1280" w:hanging="319"/>
        <w:spacing w:after="0"/>
        <w:tabs>
          <w:tab w:leader="none" w:pos="1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limited-purpose trust company organized under the New York Banking Law;</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“banking organization” within the meaning of the New York Banking Law;</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the Federal Reserve System;</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“clearing corporation” within the meaning of the New York Uniform Commercial Code; and</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“clearing agency” registered pursuant to the provisions of Section 17A of the Exchange Act.</w:t>
      </w:r>
    </w:p>
    <w:p>
      <w:pPr>
        <w:spacing w:after="0" w:line="103" w:lineRule="exact"/>
        <w:rPr>
          <w:sz w:val="20"/>
          <w:szCs w:val="20"/>
          <w:color w:val="auto"/>
        </w:rPr>
      </w:pPr>
    </w:p>
    <w:p>
      <w:pPr>
        <w:jc w:val="both"/>
        <w:ind w:left="640" w:right="639" w:firstLine="331"/>
        <w:spacing w:after="0" w:line="263" w:lineRule="auto"/>
        <w:rPr>
          <w:sz w:val="20"/>
          <w:szCs w:val="20"/>
          <w:color w:val="auto"/>
        </w:rPr>
      </w:pPr>
      <w:r>
        <w:rPr>
          <w:rFonts w:ascii="Times New Roman" w:cs="Times New Roman" w:eastAsia="Times New Roman" w:hAnsi="Times New Roman"/>
          <w:sz w:val="16"/>
          <w:szCs w:val="16"/>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70" w:lineRule="exact"/>
        <w:rPr>
          <w:sz w:val="20"/>
          <w:szCs w:val="20"/>
          <w:color w:val="auto"/>
        </w:rPr>
      </w:pPr>
    </w:p>
    <w:p>
      <w:pPr>
        <w:jc w:val="both"/>
        <w:ind w:left="640" w:right="639" w:firstLine="331"/>
        <w:spacing w:after="0" w:line="264" w:lineRule="auto"/>
        <w:rPr>
          <w:sz w:val="20"/>
          <w:szCs w:val="20"/>
          <w:color w:val="auto"/>
        </w:rPr>
      </w:pPr>
      <w:r>
        <w:rPr>
          <w:rFonts w:ascii="Times New Roman" w:cs="Times New Roman" w:eastAsia="Times New Roman" w:hAnsi="Times New Roman"/>
          <w:sz w:val="16"/>
          <w:szCs w:val="16"/>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66"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82"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70"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70" w:lineRule="exact"/>
        <w:rPr>
          <w:sz w:val="20"/>
          <w:szCs w:val="20"/>
          <w:color w:val="auto"/>
        </w:rPr>
      </w:pPr>
    </w:p>
    <w:p>
      <w:pPr>
        <w:jc w:val="both"/>
        <w:ind w:left="640" w:right="639" w:firstLine="331"/>
        <w:spacing w:after="0" w:line="272" w:lineRule="auto"/>
        <w:rPr>
          <w:sz w:val="20"/>
          <w:szCs w:val="20"/>
          <w:color w:val="auto"/>
        </w:rPr>
      </w:pPr>
      <w:r>
        <w:rPr>
          <w:rFonts w:ascii="Times New Roman" w:cs="Times New Roman" w:eastAsia="Times New Roman" w:hAnsi="Times New Roman"/>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60"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79"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81"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73" w:lineRule="exact"/>
        <w:rPr>
          <w:sz w:val="20"/>
          <w:szCs w:val="20"/>
          <w:color w:val="auto"/>
        </w:rPr>
      </w:pPr>
    </w:p>
    <w:p>
      <w:pPr>
        <w:jc w:val="both"/>
        <w:ind w:left="640" w:right="639" w:firstLine="331"/>
        <w:spacing w:after="0" w:line="300" w:lineRule="auto"/>
        <w:rPr>
          <w:sz w:val="20"/>
          <w:szCs w:val="20"/>
          <w:color w:val="auto"/>
        </w:rPr>
      </w:pPr>
      <w:r>
        <w:rPr>
          <w:rFonts w:ascii="Times New Roman" w:cs="Times New Roman" w:eastAsia="Times New Roman" w:hAnsi="Times New Roman"/>
          <w:sz w:val="16"/>
          <w:szCs w:val="16"/>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37"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0"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As noted above, beneficial owners of a particular series of securities generally will not receive certificates representing their ownership interests in those securities. However, if:</w:t>
      </w:r>
    </w:p>
    <w:p>
      <w:pPr>
        <w:spacing w:after="0" w:line="35" w:lineRule="exact"/>
        <w:rPr>
          <w:sz w:val="20"/>
          <w:szCs w:val="20"/>
          <w:color w:val="auto"/>
        </w:rPr>
      </w:pPr>
    </w:p>
    <w:p>
      <w:pPr>
        <w:jc w:val="both"/>
        <w:ind w:left="1280" w:right="639" w:hanging="319"/>
        <w:spacing w:after="0" w:line="250" w:lineRule="auto"/>
        <w:tabs>
          <w:tab w:leader="none" w:pos="1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37" w:lineRule="exact"/>
        <w:rPr>
          <w:rFonts w:ascii="Times New Roman" w:cs="Times New Roman" w:eastAsia="Times New Roman" w:hAnsi="Times New Roman"/>
          <w:sz w:val="17"/>
          <w:szCs w:val="17"/>
          <w:color w:val="auto"/>
        </w:rPr>
      </w:pPr>
    </w:p>
    <w:p>
      <w:pPr>
        <w:ind w:left="1280" w:right="659" w:hanging="319"/>
        <w:spacing w:after="0" w:line="268" w:lineRule="auto"/>
        <w:tabs>
          <w:tab w:leader="none" w:pos="1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 in our sole discretion, not to have such securities represented by one or more global securities; or</w:t>
      </w:r>
    </w:p>
    <w:p>
      <w:pPr>
        <w:spacing w:after="0" w:line="2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Default has occurred and is continuing with respect to such series of securities,</w:t>
      </w:r>
    </w:p>
    <w:p>
      <w:pPr>
        <w:spacing w:after="0" w:line="103" w:lineRule="exact"/>
        <w:rPr>
          <w:sz w:val="20"/>
          <w:szCs w:val="20"/>
          <w:color w:val="auto"/>
        </w:rPr>
      </w:pPr>
    </w:p>
    <w:p>
      <w:pPr>
        <w:jc w:val="both"/>
        <w:ind w:left="640" w:right="639"/>
        <w:spacing w:after="0" w:line="250" w:lineRule="auto"/>
        <w:rPr>
          <w:sz w:val="20"/>
          <w:szCs w:val="20"/>
          <w:color w:val="auto"/>
        </w:rPr>
      </w:pPr>
      <w:r>
        <w:rPr>
          <w:rFonts w:ascii="Times New Roman" w:cs="Times New Roman" w:eastAsia="Times New Roman" w:hAnsi="Times New Roman"/>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Euroclear and Clearstream</w:t>
      </w:r>
    </w:p>
    <w:p>
      <w:pPr>
        <w:spacing w:after="0" w:line="107"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82"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73"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73"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3"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82"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07" w:lineRule="exact"/>
        <w:rPr>
          <w:sz w:val="20"/>
          <w:szCs w:val="20"/>
          <w:color w:val="auto"/>
        </w:rPr>
      </w:pPr>
    </w:p>
    <w:p>
      <w:pPr>
        <w:jc w:val="both"/>
        <w:ind w:left="640" w:right="639" w:firstLine="331"/>
        <w:spacing w:after="0" w:line="263" w:lineRule="auto"/>
        <w:rPr>
          <w:sz w:val="20"/>
          <w:szCs w:val="20"/>
          <w:color w:val="auto"/>
        </w:rPr>
      </w:pPr>
      <w:r>
        <w:rPr>
          <w:rFonts w:ascii="Times New Roman" w:cs="Times New Roman" w:eastAsia="Times New Roman" w:hAnsi="Times New Roman"/>
          <w:sz w:val="16"/>
          <w:szCs w:val="16"/>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07"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Information about additional selling securityholders, where applicable, may be set forth in a prospectus supplement, in a post-effective amendment or in filings we make with the SEC under the Exchange Act that are incorporated by reference. The selling securityholders identified in the table below may, from time to time, offer and sell up to 45,321,301 common shares offered by this prospectus and any accompanying prospectus supplement. In the event such selling securityholders or any other selling securityholders acquire additional common shares, including, but not limited to, additional securities convertible, exchangeable or exercisable into additional common shares, information about these selling securityholders, where applicable, may be set forth in a prospectus supplement, in a post-effective amendment or in filings we make with the SEC under the Exchange Act that are incorporated by reference. When we refer to the selling securityholders identified in the table below, we mean the entities identified in the table, and the donees, pledgees, transferees, assignees, designees, distributees or other successors-in-interest who after the date of this prospectus come to hold any of such selling securityholders’ respective interests in our common shares other than through a public sale.</w:t>
      </w:r>
    </w:p>
    <w:p>
      <w:pPr>
        <w:spacing w:after="0" w:line="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The possible resale of our common shares by the selling securityholders identified in the table below relates to</w:t>
      </w:r>
    </w:p>
    <w:p>
      <w:pPr>
        <w:spacing w:after="0" w:line="31" w:lineRule="exact"/>
        <w:rPr>
          <w:sz w:val="20"/>
          <w:szCs w:val="20"/>
          <w:color w:val="auto"/>
        </w:rPr>
      </w:pPr>
    </w:p>
    <w:p>
      <w:pPr>
        <w:jc w:val="both"/>
        <w:ind w:left="640" w:right="639" w:hanging="10"/>
        <w:spacing w:after="0" w:line="259" w:lineRule="auto"/>
        <w:tabs>
          <w:tab w:leader="none" w:pos="84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6,185,904 common shares issued or issuable upon the conversion of 386,619 convertible notes that we originally issued between November 2018 and October 2020 to certain of the selling securityholders identified below,</w:t>
      </w:r>
    </w:p>
    <w:p>
      <w:pPr>
        <w:jc w:val="both"/>
        <w:ind w:left="640" w:right="659" w:hanging="10"/>
        <w:spacing w:after="0" w:line="259" w:lineRule="auto"/>
        <w:tabs>
          <w:tab w:leader="none" w:pos="91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9,993,341 common shares purchased by certain of the selling securityholders (the “Initial PIPE Investors”) identified below pursuant to subscription agreements, dated June 2, 2025 (the “Initial Subscription Agreements”),</w:t>
      </w:r>
    </w:p>
    <w:p>
      <w:pPr>
        <w:jc w:val="both"/>
        <w:ind w:left="640" w:right="639" w:hanging="10"/>
        <w:spacing w:after="0" w:line="244" w:lineRule="auto"/>
        <w:tabs>
          <w:tab w:leader="none" w:pos="96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6,311,006 common shares issuable upon the exercise of a pre-funded warrant issued to one of the Initial PIPE Investors pursuant to one of the Initial Subscription Agreements, (iv) 18,264,840 common shares purchased by certain of the selling securityholders (the “Subsequent PIPE Investors”) identified below pursuant to subscription agreements, dated July 1, 2025 (the “Subsequent Subscription Agreements”) and (v) 4,566,210 common shares issuable upon the exercise of a pre-funded warrant issued to one of the Subsequent PIPE Investors pursuant to one of the Subsequent Subscription Agreements. In connection with entering into the Initial Subscription Agreements and the Subsequent Subscription Agreements, we entered into registration rights agreements, dated June, 2, 2025, and July 1, 2025, respectively, with the Initial PIPE Investors and Subsequent PIPE Investors, as applicable, pursuant to which we granted certain registration rights with respect to the securities purchased by the Initial PIPE Investors and Subsequent PIPE Investors, as applicable, and we are registering certain of the securities offered by this prospectus on their behalf.</w:t>
      </w:r>
    </w:p>
    <w:p>
      <w:pPr>
        <w:spacing w:after="0" w:line="82"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The following table sets forth information as September 15, 2025, regarding the beneficial ownership of our common shares held by the selling security holders identified below, and the number of our common shares that may from time to time be offered or sold by the selling securityholders pursuant to this prospectus. We have prepared the following table based on information given to us by, or on behalf of, the selling securityholders identified below on or before the date hereof with respect to the beneficial ownership of our common shares held by such selling securityholders.</w:t>
      </w:r>
    </w:p>
    <w:p>
      <w:pPr>
        <w:spacing w:after="0" w:line="79"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We have not independently verified this information, and this information may change from time to time and any changed information will be set forth in supplements to this prospectus or in a post-effective amendment, if and when necessary. The selling securityholders identified below may offer all, some or none of their common shares, and we cannot advise you as to whether they will in fact sell any or all of such common shares. In addition, the selling securityholders identified below may have sold, transferred or otherwise disposed of, or may sell, transfer or otherwise dispose of, at any time and from time to time, our common shares in transactions exempt from the registration requirements of the Securities Act after the date on which they provided the information set forth in the table below.</w:t>
      </w:r>
    </w:p>
    <w:p>
      <w:pPr>
        <w:spacing w:after="0" w:line="79"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The number of common shares beneficially owned by each selling securityholder is determined in accordance with the rules of the SEC, and the information is not necessarily indicative of beneficial ownership for any other purpose. Under such rules, beneficial ownership includes any common shares over which the individual or entity has sole or shared voting power or investment power. Applicable percentage ownership is based on 233,779,400 common shares outstanding as of September 15, 2025. In computing the number of common shares beneficially owned by an individual or entity and the percentage ownership of that person, common shares subject to options, restricted share units or other rights held by such person that are currently exercisable or will become exercisable or will vest within 60 days of September 15, 2025 are considered outstanding, although these common shares are not considered outstanding for purposes of computing the percentage ownership of any other person. Except as otherwise indicated, and subject to applicable community property laws, the persons identified in the table have sole voting and investment power with respect to all common shares held by that person. The information regarding common shares beneficially owned after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spacing w:after="0" w:line="252" w:lineRule="auto"/>
        <w:rPr>
          <w:sz w:val="20"/>
          <w:szCs w:val="20"/>
          <w:color w:val="auto"/>
        </w:rPr>
      </w:pPr>
      <w:r>
        <w:rPr>
          <w:rFonts w:ascii="Times New Roman" w:cs="Times New Roman" w:eastAsia="Times New Roman" w:hAnsi="Times New Roman"/>
          <w:sz w:val="17"/>
          <w:szCs w:val="17"/>
          <w:color w:val="auto"/>
        </w:rPr>
        <w:t>the offering assumes the sale of all common shares offered by the selling securityholders identified below, and that such selling securityholders do not acquire any additional common shares or additional securities convertible, exchangeable or exercisable into additional common shares. Information in the table below is based on information filed with the SEC or obtained from the persons identified below.</w:t>
      </w:r>
    </w:p>
    <w:p>
      <w:pPr>
        <w:spacing w:after="0" w:line="73"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Unless otherwise indicated below, the address for each beneficial owner is ATAI Life Sciences N.V., Prof. J.H. Bavincklaan 7, 1183 AT Amstelveen, the Netherlands.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 Number</w:t>
            </w:r>
          </w:p>
        </w:tc>
        <w:tc>
          <w:tcPr>
            <w:tcW w:w="60" w:type="dxa"/>
            <w:vAlign w:val="bottom"/>
          </w:tcPr>
          <w:p>
            <w:pPr>
              <w:spacing w:after="0"/>
              <w:rPr>
                <w:sz w:val="12"/>
                <w:szCs w:val="12"/>
                <w:color w:val="auto"/>
              </w:rPr>
            </w:pP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After Resale</w:t>
            </w: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of Common Shares</w:t>
            </w:r>
          </w:p>
        </w:tc>
        <w:tc>
          <w:tcPr>
            <w:tcW w:w="6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Subject to Resale</w:t>
            </w:r>
          </w:p>
        </w:tc>
        <w:tc>
          <w:tcPr>
            <w:tcW w:w="60" w:type="dxa"/>
            <w:vAlign w:val="bottom"/>
          </w:tcPr>
          <w:p>
            <w:pPr>
              <w:spacing w:after="0"/>
              <w:rPr>
                <w:sz w:val="11"/>
                <w:szCs w:val="11"/>
                <w:color w:val="auto"/>
              </w:rPr>
            </w:pPr>
          </w:p>
        </w:tc>
        <w:tc>
          <w:tcPr>
            <w:tcW w:w="16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of All Common Shares</w:t>
            </w: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Prior to this Prospectus</w:t>
            </w:r>
          </w:p>
        </w:tc>
        <w:tc>
          <w:tcPr>
            <w:tcW w:w="8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Pursuant</w:t>
            </w:r>
          </w:p>
        </w:tc>
        <w:tc>
          <w:tcPr>
            <w:tcW w:w="60" w:type="dxa"/>
            <w:vAlign w:val="bottom"/>
          </w:tcPr>
          <w:p>
            <w:pPr>
              <w:spacing w:after="0"/>
              <w:rPr>
                <w:sz w:val="11"/>
                <w:szCs w:val="11"/>
                <w:color w:val="auto"/>
              </w:rPr>
            </w:pPr>
          </w:p>
        </w:tc>
        <w:tc>
          <w:tcPr>
            <w:tcW w:w="160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Subject to Resale Pursuant</w:t>
            </w: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 this Prospectus</w:t>
            </w:r>
          </w:p>
        </w:tc>
        <w:tc>
          <w:tcPr>
            <w:tcW w:w="60" w:type="dxa"/>
            <w:vAlign w:val="bottom"/>
          </w:tcPr>
          <w:p>
            <w:pPr>
              <w:spacing w:after="0"/>
              <w:rPr>
                <w:sz w:val="15"/>
                <w:szCs w:val="15"/>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to this Prospectus</w:t>
            </w:r>
          </w:p>
        </w:tc>
        <w:tc>
          <w:tcPr>
            <w:tcW w:w="0" w:type="dxa"/>
            <w:vAlign w:val="bottom"/>
          </w:tcPr>
          <w:p>
            <w:pPr>
              <w:spacing w:after="0"/>
              <w:rPr>
                <w:sz w:val="1"/>
                <w:szCs w:val="1"/>
                <w:color w:val="auto"/>
              </w:rPr>
            </w:pPr>
          </w:p>
        </w:tc>
      </w:tr>
      <w:tr>
        <w:trPr>
          <w:trHeight w:val="22"/>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Securityholders</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40" w:type="dxa"/>
            <w:vAlign w:val="bottom"/>
            <w:gridSpan w:val="2"/>
            <w:vMerge w:val="continue"/>
          </w:tcPr>
          <w:p>
            <w:pPr>
              <w:spacing w:after="0"/>
              <w:rPr>
                <w:sz w:val="14"/>
                <w:szCs w:val="14"/>
                <w:color w:val="auto"/>
              </w:rPr>
            </w:pP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 w:type="dxa"/>
            <w:vAlign w:val="bottom"/>
          </w:tcPr>
          <w:p>
            <w:pPr>
              <w:spacing w:after="0"/>
              <w:rPr>
                <w:sz w:val="14"/>
                <w:szCs w:val="14"/>
                <w:color w:val="auto"/>
              </w:rPr>
            </w:pP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
        </w:trPr>
        <w:tc>
          <w:tcPr>
            <w:tcW w:w="2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Apeiron Investment Group Ltd.</w:t>
            </w:r>
            <w:r>
              <w:rPr>
                <w:rFonts w:ascii="Times New Roman" w:cs="Times New Roman" w:eastAsia="Times New Roman" w:hAnsi="Times New Roman"/>
                <w:sz w:val="26"/>
                <w:szCs w:val="26"/>
                <w:color w:val="auto"/>
                <w:vertAlign w:val="superscript"/>
              </w:rPr>
              <w:t>(1)</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55,211,716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72"/>
              <w:spacing w:after="0" w:line="228" w:lineRule="exact"/>
              <w:rPr>
                <w:sz w:val="20"/>
                <w:szCs w:val="20"/>
                <w:color w:val="auto"/>
              </w:rPr>
            </w:pPr>
            <w:r>
              <w:rPr>
                <w:rFonts w:ascii="Times New Roman" w:cs="Times New Roman" w:eastAsia="Times New Roman" w:hAnsi="Times New Roman"/>
                <w:sz w:val="16"/>
                <w:szCs w:val="16"/>
                <w:color w:val="auto"/>
              </w:rPr>
              <w:t>11,042,999</w:t>
            </w:r>
            <w:r>
              <w:rPr>
                <w:rFonts w:ascii="Times New Roman" w:cs="Times New Roman" w:eastAsia="Times New Roman" w:hAnsi="Times New Roman"/>
                <w:sz w:val="26"/>
                <w:szCs w:val="26"/>
                <w:color w:val="auto"/>
                <w:vertAlign w:val="superscript"/>
              </w:rPr>
              <w:t>(2)</w:t>
            </w:r>
          </w:p>
        </w:tc>
        <w:tc>
          <w:tcPr>
            <w:tcW w:w="9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44,168,717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0" w:type="dxa"/>
            <w:vAlign w:val="bottom"/>
          </w:tcPr>
          <w:p>
            <w:pPr>
              <w:spacing w:after="0"/>
              <w:rPr>
                <w:sz w:val="1"/>
                <w:szCs w:val="1"/>
                <w:color w:val="auto"/>
              </w:rPr>
            </w:pPr>
          </w:p>
        </w:tc>
      </w:tr>
      <w:tr>
        <w:trPr>
          <w:trHeight w:val="223"/>
        </w:trPr>
        <w:tc>
          <w:tcPr>
            <w:tcW w:w="3040" w:type="dxa"/>
            <w:vAlign w:val="bottom"/>
            <w:gridSpan w:val="2"/>
          </w:tcPr>
          <w:p>
            <w:pPr>
              <w:spacing w:after="0" w:line="223" w:lineRule="exact"/>
              <w:rPr>
                <w:sz w:val="20"/>
                <w:szCs w:val="20"/>
                <w:color w:val="auto"/>
              </w:rPr>
            </w:pPr>
            <w:r>
              <w:rPr>
                <w:rFonts w:ascii="Times New Roman" w:cs="Times New Roman" w:eastAsia="Times New Roman" w:hAnsi="Times New Roman"/>
                <w:sz w:val="16"/>
                <w:szCs w:val="16"/>
                <w:color w:val="auto"/>
              </w:rPr>
              <w:t>Adage Capital Partners LP</w:t>
            </w:r>
            <w:r>
              <w:rPr>
                <w:rFonts w:ascii="Times New Roman" w:cs="Times New Roman" w:eastAsia="Times New Roman" w:hAnsi="Times New Roman"/>
                <w:sz w:val="25"/>
                <w:szCs w:val="25"/>
                <w:color w:val="auto"/>
                <w:vertAlign w:val="superscript"/>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5,434,782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w:t>
            </w:r>
          </w:p>
        </w:tc>
        <w:tc>
          <w:tcPr>
            <w:tcW w:w="1600" w:type="dxa"/>
            <w:vAlign w:val="bottom"/>
            <w:gridSpan w:val="2"/>
          </w:tcPr>
          <w:p>
            <w:pPr>
              <w:jc w:val="right"/>
              <w:ind w:right="332"/>
              <w:spacing w:after="0"/>
              <w:rPr>
                <w:sz w:val="20"/>
                <w:szCs w:val="20"/>
                <w:color w:val="auto"/>
              </w:rPr>
            </w:pPr>
            <w:r>
              <w:rPr>
                <w:rFonts w:ascii="Times New Roman" w:cs="Times New Roman" w:eastAsia="Times New Roman" w:hAnsi="Times New Roman"/>
                <w:sz w:val="17"/>
                <w:szCs w:val="17"/>
                <w:color w:val="auto"/>
              </w:rPr>
              <w:t>5,434,782</w:t>
            </w:r>
          </w:p>
        </w:tc>
        <w:tc>
          <w:tcPr>
            <w:tcW w:w="6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0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ADAR1 Partners, LP</w:t>
            </w:r>
            <w:r>
              <w:rPr>
                <w:rFonts w:ascii="Times New Roman" w:cs="Times New Roman" w:eastAsia="Times New Roman" w:hAnsi="Times New Roman"/>
                <w:sz w:val="25"/>
                <w:szCs w:val="25"/>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782,648</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0.33%</w:t>
            </w:r>
          </w:p>
        </w:tc>
        <w:tc>
          <w:tcPr>
            <w:tcW w:w="160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7"/>
                <w:szCs w:val="17"/>
                <w:color w:val="auto"/>
              </w:rPr>
              <w:t>782,648</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040" w:type="dxa"/>
            <w:vAlign w:val="bottom"/>
            <w:gridSpan w:val="2"/>
          </w:tcPr>
          <w:p>
            <w:pPr>
              <w:spacing w:after="0" w:line="223" w:lineRule="exact"/>
              <w:rPr>
                <w:sz w:val="20"/>
                <w:szCs w:val="20"/>
                <w:color w:val="auto"/>
              </w:rPr>
            </w:pPr>
            <w:r>
              <w:rPr>
                <w:rFonts w:ascii="Times New Roman" w:cs="Times New Roman" w:eastAsia="Times New Roman" w:hAnsi="Times New Roman"/>
                <w:sz w:val="16"/>
                <w:szCs w:val="16"/>
                <w:color w:val="auto"/>
              </w:rPr>
              <w:t>Ally Bridge MedAlpha Master Fund L.P.</w:t>
            </w:r>
            <w:r>
              <w:rPr>
                <w:rFonts w:ascii="Times New Roman" w:cs="Times New Roman" w:eastAsia="Times New Roman" w:hAnsi="Times New Roman"/>
                <w:sz w:val="25"/>
                <w:szCs w:val="25"/>
                <w:color w:val="auto"/>
                <w:vertAlign w:val="superscript"/>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2,283,105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0.98%</w:t>
            </w:r>
          </w:p>
        </w:tc>
        <w:tc>
          <w:tcPr>
            <w:tcW w:w="1600" w:type="dxa"/>
            <w:vAlign w:val="bottom"/>
            <w:gridSpan w:val="2"/>
          </w:tcPr>
          <w:p>
            <w:pPr>
              <w:jc w:val="right"/>
              <w:ind w:right="332"/>
              <w:spacing w:after="0"/>
              <w:rPr>
                <w:sz w:val="20"/>
                <w:szCs w:val="20"/>
                <w:color w:val="auto"/>
              </w:rPr>
            </w:pPr>
            <w:r>
              <w:rPr>
                <w:rFonts w:ascii="Times New Roman" w:cs="Times New Roman" w:eastAsia="Times New Roman" w:hAnsi="Times New Roman"/>
                <w:sz w:val="17"/>
                <w:szCs w:val="17"/>
                <w:color w:val="auto"/>
              </w:rPr>
              <w:t>2,283,105</w:t>
            </w:r>
          </w:p>
        </w:tc>
        <w:tc>
          <w:tcPr>
            <w:tcW w:w="6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0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Ferring Ventures S.A.</w:t>
            </w:r>
            <w:r>
              <w:rPr>
                <w:rFonts w:ascii="Times New Roman" w:cs="Times New Roman" w:eastAsia="Times New Roman" w:hAnsi="Times New Roman"/>
                <w:sz w:val="25"/>
                <w:szCs w:val="25"/>
                <w:color w:val="auto"/>
                <w:vertAlign w:val="superscript"/>
              </w:rPr>
              <w:t>(6)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15,503,775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4.99%</w:t>
            </w:r>
          </w:p>
        </w:tc>
        <w:tc>
          <w:tcPr>
            <w:tcW w:w="160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rPr>
              <w:t>15,435,775</w:t>
            </w:r>
          </w:p>
        </w:tc>
        <w:tc>
          <w:tcPr>
            <w:tcW w:w="9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68,000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23"/>
        </w:trPr>
        <w:tc>
          <w:tcPr>
            <w:tcW w:w="3040" w:type="dxa"/>
            <w:vAlign w:val="bottom"/>
            <w:gridSpan w:val="2"/>
          </w:tcPr>
          <w:p>
            <w:pPr>
              <w:spacing w:after="0" w:line="223" w:lineRule="exact"/>
              <w:rPr>
                <w:sz w:val="20"/>
                <w:szCs w:val="20"/>
                <w:color w:val="auto"/>
              </w:rPr>
            </w:pPr>
            <w:r>
              <w:rPr>
                <w:rFonts w:ascii="Times New Roman" w:cs="Times New Roman" w:eastAsia="Times New Roman" w:hAnsi="Times New Roman"/>
                <w:sz w:val="16"/>
                <w:szCs w:val="16"/>
                <w:color w:val="auto"/>
              </w:rPr>
              <w:t>Galaxy Group Funding ECI U LLC</w:t>
            </w:r>
            <w:r>
              <w:rPr>
                <w:rFonts w:ascii="Times New Roman" w:cs="Times New Roman" w:eastAsia="Times New Roman" w:hAnsi="Times New Roman"/>
                <w:sz w:val="25"/>
                <w:szCs w:val="25"/>
                <w:color w:val="auto"/>
                <w:vertAlign w:val="superscript"/>
              </w:rPr>
              <w:t>(7)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913,242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0.39%</w:t>
            </w:r>
          </w:p>
        </w:tc>
        <w:tc>
          <w:tcPr>
            <w:tcW w:w="1600" w:type="dxa"/>
            <w:vAlign w:val="bottom"/>
            <w:gridSpan w:val="2"/>
          </w:tcPr>
          <w:p>
            <w:pPr>
              <w:jc w:val="right"/>
              <w:ind w:right="332"/>
              <w:spacing w:after="0"/>
              <w:rPr>
                <w:sz w:val="20"/>
                <w:szCs w:val="20"/>
                <w:color w:val="auto"/>
              </w:rPr>
            </w:pPr>
            <w:r>
              <w:rPr>
                <w:rFonts w:ascii="Times New Roman" w:cs="Times New Roman" w:eastAsia="Times New Roman" w:hAnsi="Times New Roman"/>
                <w:sz w:val="17"/>
                <w:szCs w:val="17"/>
                <w:color w:val="auto"/>
              </w:rPr>
              <w:t>913,242</w:t>
            </w:r>
          </w:p>
        </w:tc>
        <w:tc>
          <w:tcPr>
            <w:tcW w:w="6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04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Hypothalmus Ltd</w:t>
            </w:r>
            <w:r>
              <w:rPr>
                <w:rFonts w:ascii="Times New Roman" w:cs="Times New Roman" w:eastAsia="Times New Roman" w:hAnsi="Times New Roman"/>
                <w:sz w:val="25"/>
                <w:szCs w:val="25"/>
                <w:color w:val="auto"/>
                <w:vertAlign w:val="superscript"/>
              </w:rPr>
              <w:t>(8)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4,566,210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1.95%</w:t>
            </w:r>
          </w:p>
        </w:tc>
        <w:tc>
          <w:tcPr>
            <w:tcW w:w="160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7"/>
                <w:szCs w:val="17"/>
                <w:color w:val="auto"/>
              </w:rPr>
              <w:t>4,566,210</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304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Seligman Healthcare Spectrum (Master)</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ind w:left="160"/>
              <w:spacing w:after="0" w:line="239" w:lineRule="exact"/>
              <w:rPr>
                <w:sz w:val="20"/>
                <w:szCs w:val="20"/>
                <w:color w:val="auto"/>
              </w:rPr>
            </w:pPr>
            <w:r>
              <w:rPr>
                <w:rFonts w:ascii="Times New Roman" w:cs="Times New Roman" w:eastAsia="Times New Roman" w:hAnsi="Times New Roman"/>
                <w:sz w:val="17"/>
                <w:szCs w:val="17"/>
                <w:color w:val="auto"/>
              </w:rPr>
              <w:t>Fund</w:t>
            </w:r>
            <w:r>
              <w:rPr>
                <w:rFonts w:ascii="Times New Roman" w:cs="Times New Roman" w:eastAsia="Times New Roman" w:hAnsi="Times New Roman"/>
                <w:sz w:val="27"/>
                <w:szCs w:val="27"/>
                <w:color w:val="auto"/>
                <w:vertAlign w:val="superscript"/>
              </w:rPr>
              <w:t>(9)</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913,242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0.39%</w:t>
            </w:r>
          </w:p>
        </w:tc>
        <w:tc>
          <w:tcPr>
            <w:tcW w:w="1600" w:type="dxa"/>
            <w:vAlign w:val="bottom"/>
            <w:gridSpan w:val="2"/>
          </w:tcPr>
          <w:p>
            <w:pPr>
              <w:jc w:val="right"/>
              <w:ind w:right="332"/>
              <w:spacing w:after="0"/>
              <w:rPr>
                <w:sz w:val="20"/>
                <w:szCs w:val="20"/>
                <w:color w:val="auto"/>
              </w:rPr>
            </w:pPr>
            <w:r>
              <w:rPr>
                <w:rFonts w:ascii="Times New Roman" w:cs="Times New Roman" w:eastAsia="Times New Roman" w:hAnsi="Times New Roman"/>
                <w:sz w:val="17"/>
                <w:szCs w:val="17"/>
                <w:color w:val="auto"/>
              </w:rPr>
              <w:t>913,242</w:t>
            </w:r>
          </w:p>
        </w:tc>
        <w:tc>
          <w:tcPr>
            <w:tcW w:w="6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30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Spearhead Insurance Solutions IDF, LLC -</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gridSpan w:val="2"/>
            <w:shd w:val="clear" w:color="auto" w:fill="CCEEFF"/>
          </w:tcPr>
          <w:p>
            <w:pPr>
              <w:ind w:left="160"/>
              <w:spacing w:after="0" w:line="239" w:lineRule="exact"/>
              <w:rPr>
                <w:sz w:val="20"/>
                <w:szCs w:val="20"/>
                <w:color w:val="auto"/>
              </w:rPr>
            </w:pPr>
            <w:r>
              <w:rPr>
                <w:rFonts w:ascii="Times New Roman" w:cs="Times New Roman" w:eastAsia="Times New Roman" w:hAnsi="Times New Roman"/>
                <w:sz w:val="17"/>
                <w:szCs w:val="17"/>
                <w:color w:val="auto"/>
              </w:rPr>
              <w:t>Series ADAR1</w:t>
            </w:r>
            <w:r>
              <w:rPr>
                <w:rFonts w:ascii="Times New Roman" w:cs="Times New Roman" w:eastAsia="Times New Roman" w:hAnsi="Times New Roman"/>
                <w:sz w:val="27"/>
                <w:szCs w:val="27"/>
                <w:color w:val="auto"/>
                <w:vertAlign w:val="superscript"/>
              </w:rPr>
              <w:t>(10)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130,594</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0.06%</w:t>
            </w:r>
          </w:p>
        </w:tc>
        <w:tc>
          <w:tcPr>
            <w:tcW w:w="160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7"/>
                <w:szCs w:val="17"/>
                <w:color w:val="auto"/>
              </w:rPr>
              <w:t>130,594</w:t>
            </w: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65"/>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Wilde Ventures GmbH</w:t>
            </w:r>
            <w:r>
              <w:rPr>
                <w:rFonts w:ascii="Times New Roman" w:cs="Times New Roman" w:eastAsia="Times New Roman" w:hAnsi="Times New Roman"/>
                <w:sz w:val="27"/>
                <w:szCs w:val="27"/>
                <w:color w:val="auto"/>
                <w:vertAlign w:val="superscript"/>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3,818,704</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1.63%</w:t>
            </w:r>
          </w:p>
        </w:tc>
        <w:tc>
          <w:tcPr>
            <w:tcW w:w="1600" w:type="dxa"/>
            <w:vAlign w:val="bottom"/>
            <w:gridSpan w:val="2"/>
          </w:tcPr>
          <w:p>
            <w:pPr>
              <w:jc w:val="right"/>
              <w:ind w:right="332"/>
              <w:spacing w:after="0"/>
              <w:rPr>
                <w:sz w:val="20"/>
                <w:szCs w:val="20"/>
                <w:color w:val="auto"/>
              </w:rPr>
            </w:pPr>
            <w:r>
              <w:rPr>
                <w:rFonts w:ascii="Times New Roman" w:cs="Times New Roman" w:eastAsia="Times New Roman" w:hAnsi="Times New Roman"/>
                <w:sz w:val="17"/>
                <w:szCs w:val="17"/>
                <w:color w:val="auto"/>
              </w:rPr>
              <w:t>3,818,704</w:t>
            </w:r>
          </w:p>
        </w:tc>
        <w:tc>
          <w:tcPr>
            <w:tcW w:w="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75565</wp:posOffset>
            </wp:positionV>
            <wp:extent cx="7569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56920" cy="7620"/>
                    </a:xfrm>
                    <a:prstGeom prst="rect">
                      <a:avLst/>
                    </a:prstGeom>
                    <a:noFill/>
                  </pic:spPr>
                </pic:pic>
              </a:graphicData>
            </a:graphic>
          </wp:anchor>
        </w:drawing>
      </w:r>
    </w:p>
    <w:p>
      <w:pPr>
        <w:spacing w:after="0" w:line="141" w:lineRule="exact"/>
        <w:rPr>
          <w:sz w:val="20"/>
          <w:szCs w:val="20"/>
          <w:color w:val="auto"/>
        </w:rPr>
      </w:pPr>
    </w:p>
    <w:p>
      <w:pPr>
        <w:jc w:val="both"/>
        <w:ind w:left="960" w:right="639" w:hanging="330"/>
        <w:spacing w:after="0" w:line="224" w:lineRule="auto"/>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on the Schedule 13D/A jointly filed with the SEC on August 18, 2025 by Apeiron Investment Group Ltd. (“Apeiron”), Apeiron Presight Capital Fund II, L.P. (“Presight II”), Presight Capital Management I, L.L.C. (“Presight Management”), Fabien Hansen and Christian Angermayer. As of August 14, 2025, Apeiron and Mr. Angermayer reported shared voting and dispositive power over 55,211,716 common shares, and Presight II and Fabian Hansen reported shared voting and dispositive power over 1,799,302 common shares. Presight II is the record holder of 1,799,302 common shares. Apeiron and Mr. Hansen are the managing members of Presight Management, which is the general partner of Presight II. As a result, each of Apeiron, Mr. Hansen and Presight Management may be deemed to share beneficial ownership of the securities held by Presight II. Apeiron is the record holder of 51,045,214 common shares and may be deemed to own an additional 2,367,200 common shares underlying convertible notes. Mr. Angermayer is the majority shareholder of Apeiron and may be deemed to share beneficial ownership of the securities beneficially owned by Apeiron. The principal business address for Apeiron, and Mr. Angermayer is 66 &amp; 67, Amery Street, SLM1707, Sliema, Malta. The principal business address for Presight II, Presight Management and Mr. Hansen is 440 N Barranca Ave #3391 Covina, California 91723.</w:t>
      </w:r>
    </w:p>
    <w:p>
      <w:pPr>
        <w:spacing w:after="0" w:line="17" w:lineRule="exact"/>
        <w:rPr>
          <w:rFonts w:ascii="Times New Roman" w:cs="Times New Roman" w:eastAsia="Times New Roman" w:hAnsi="Times New Roman"/>
          <w:sz w:val="13"/>
          <w:szCs w:val="13"/>
          <w:color w:val="auto"/>
        </w:rPr>
      </w:pPr>
    </w:p>
    <w:p>
      <w:pPr>
        <w:ind w:left="960" w:right="639" w:hanging="330"/>
        <w:spacing w:after="0" w:line="255" w:lineRule="auto"/>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8,675,799 common shares acquired pursuant to one of the Subsequent Subscription Agreements and (ii) 2,367,200 shares issuable upon the conversion of 147,950 convertible notes.</w:t>
      </w:r>
    </w:p>
    <w:p>
      <w:pPr>
        <w:spacing w:after="0" w:line="5" w:lineRule="exact"/>
        <w:rPr>
          <w:rFonts w:ascii="Times New Roman" w:cs="Times New Roman" w:eastAsia="Times New Roman" w:hAnsi="Times New Roman"/>
          <w:sz w:val="13"/>
          <w:szCs w:val="13"/>
          <w:color w:val="auto"/>
        </w:rPr>
      </w:pPr>
    </w:p>
    <w:p>
      <w:pPr>
        <w:jc w:val="both"/>
        <w:ind w:left="960" w:right="639" w:hanging="330"/>
        <w:spacing w:after="0" w:line="228" w:lineRule="auto"/>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5,434,782 common shares held by Adage Capital Partners LP (“Adage”), whose principal offices are located at 200 Clarendon Street, Boston Massachusetts, 02116. Bob Atchinson and Phillip Gross are the managing members of Adage Capital Advisors, L.L.C., which is the managing member of Adage Capital Partners GP, L.L.C., which is the general partner of Adage, and each such person or entity, as the case may be, has shared voting and/or investment power over the securities held by Adage and may be deemed the beneficial owner of such shares, and each such person or entity, as the case may be, disclaims beneficial ownership of such securities except to the extent of their respective pecuniary interest therein.</w:t>
      </w:r>
    </w:p>
    <w:p>
      <w:pPr>
        <w:spacing w:after="0" w:line="17" w:lineRule="exact"/>
        <w:rPr>
          <w:rFonts w:ascii="Times New Roman" w:cs="Times New Roman" w:eastAsia="Times New Roman" w:hAnsi="Times New Roman"/>
          <w:sz w:val="13"/>
          <w:szCs w:val="13"/>
          <w:color w:val="auto"/>
        </w:rPr>
      </w:pPr>
    </w:p>
    <w:p>
      <w:pPr>
        <w:ind w:left="960" w:right="659" w:hanging="330"/>
        <w:spacing w:after="0" w:line="255" w:lineRule="auto"/>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782,648 common shares held by ADAR1 Partners, LP, whose principal offices are located at 3503 Wild Cherry Drive, Building 9, Austin, Texas 78738.</w:t>
      </w:r>
    </w:p>
    <w:p>
      <w:pPr>
        <w:spacing w:after="0" w:line="5" w:lineRule="exact"/>
        <w:rPr>
          <w:rFonts w:ascii="Times New Roman" w:cs="Times New Roman" w:eastAsia="Times New Roman" w:hAnsi="Times New Roman"/>
          <w:sz w:val="13"/>
          <w:szCs w:val="13"/>
          <w:color w:val="auto"/>
        </w:rPr>
      </w:pPr>
    </w:p>
    <w:p>
      <w:pPr>
        <w:jc w:val="both"/>
        <w:ind w:left="960" w:right="639" w:hanging="330"/>
        <w:spacing w:after="0"/>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2,283,105 common shares held by Ally Bridge MedAlpha Master Fund L.P. (“MedAlpha”). Mr. Fan Yu is the sole shareholder of ABG Management Ltd., which is the sole member of Ally Bridge Group (NY) LLC, which manages investments of MedAlpha. As such, each of the foregoing entities and Mr. Fan Yu may be deemed to share beneficial ownership of the shares held by MedAlpha. Each of them disclaims any such beneficial ownership. The address of the above person and entities is 430 Park Avenue, 12th Floor, New York, NY 10022.</w:t>
      </w:r>
    </w:p>
    <w:p>
      <w:pPr>
        <w:spacing w:after="0" w:line="134" w:lineRule="exact"/>
        <w:rPr>
          <w:rFonts w:ascii="Times New Roman" w:cs="Times New Roman" w:eastAsia="Times New Roman" w:hAnsi="Times New Roman"/>
          <w:sz w:val="13"/>
          <w:szCs w:val="13"/>
          <w:color w:val="auto"/>
        </w:rPr>
      </w:pPr>
    </w:p>
    <w:p>
      <w:pPr>
        <w:jc w:val="both"/>
        <w:ind w:left="960" w:right="639" w:hanging="330"/>
        <w:spacing w:after="0"/>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4,626,559 common shares, which is inclusive of 4,558,559 common shares acquired pursuant to one of the Initial Subscription Agreements, and (ii) 10,877,216 common shares issuable upon the exercise of pre-funded warrants, which are exercisable subject to a beneficial ownership limitation that provides such warrants may only be exercised to the extent that immediately following such exercise the holder will not beneficially own more than 4.99% of the outstanding common shares. Each of the common shares and pre-funded warrants are held by Ferring Ventures S.A., whose principal offices are located at Chemin de la Vergognausaz 50, 1162 St-Prex, Switzerland.</w:t>
      </w:r>
    </w:p>
    <w:p>
      <w:pPr>
        <w:spacing w:after="0" w:line="121" w:lineRule="exact"/>
        <w:rPr>
          <w:rFonts w:ascii="Times New Roman" w:cs="Times New Roman" w:eastAsia="Times New Roman" w:hAnsi="Times New Roman"/>
          <w:sz w:val="13"/>
          <w:szCs w:val="13"/>
          <w:color w:val="auto"/>
        </w:rPr>
      </w:pPr>
    </w:p>
    <w:p>
      <w:pPr>
        <w:ind w:left="960" w:right="659" w:hanging="330"/>
        <w:spacing w:after="0" w:line="255" w:lineRule="auto"/>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913,242 common shares held by Galaxy Group Funding ECI U LLC, whose principal offices are located at 107 Grand St, 6th Floor, New York, New York 10013.</w:t>
      </w:r>
    </w:p>
    <w:p>
      <w:pPr>
        <w:spacing w:after="0" w:line="5" w:lineRule="exact"/>
        <w:rPr>
          <w:rFonts w:ascii="Times New Roman" w:cs="Times New Roman" w:eastAsia="Times New Roman" w:hAnsi="Times New Roman"/>
          <w:sz w:val="13"/>
          <w:szCs w:val="13"/>
          <w:color w:val="auto"/>
        </w:rPr>
      </w:pPr>
    </w:p>
    <w:p>
      <w:pPr>
        <w:ind w:left="960" w:right="639" w:hanging="330"/>
        <w:spacing w:after="0" w:line="255" w:lineRule="auto"/>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4,566,210 common shares held by Hypothalmus Ltd, whose principal offices are located at Binzemühlestrasse 80, CH-8050 Zürich, Switzerland.</w:t>
      </w:r>
    </w:p>
    <w:p>
      <w:pPr>
        <w:spacing w:after="0" w:line="5" w:lineRule="exact"/>
        <w:rPr>
          <w:rFonts w:ascii="Times New Roman" w:cs="Times New Roman" w:eastAsia="Times New Roman" w:hAnsi="Times New Roman"/>
          <w:sz w:val="13"/>
          <w:szCs w:val="13"/>
          <w:color w:val="auto"/>
        </w:rPr>
      </w:pPr>
    </w:p>
    <w:p>
      <w:pPr>
        <w:ind w:left="960" w:right="639" w:hanging="330"/>
        <w:spacing w:after="0" w:line="255" w:lineRule="auto"/>
        <w:tabs>
          <w:tab w:leader="none" w:pos="9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913,242 common shares held by Seligman Healthcare Spectrum (Master) Fund, whose principal offices are located at 290 Congress Street, Boston, Massachusetts 02210.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ind w:left="960" w:right="659" w:hanging="330"/>
        <w:spacing w:after="0" w:line="255" w:lineRule="auto"/>
        <w:tabs>
          <w:tab w:leader="none" w:pos="9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130,594 common shares held by Spearhead Insurance Solutions IDF, LLC - Series ADAR1, whose principal offices are at 3503 Wild Cherry Drive, Building 9, Austin, Texas 78738.</w:t>
      </w:r>
    </w:p>
    <w:p>
      <w:pPr>
        <w:spacing w:after="0" w:line="5" w:lineRule="exact"/>
        <w:rPr>
          <w:rFonts w:ascii="Times New Roman" w:cs="Times New Roman" w:eastAsia="Times New Roman" w:hAnsi="Times New Roman"/>
          <w:sz w:val="13"/>
          <w:szCs w:val="13"/>
          <w:color w:val="auto"/>
        </w:rPr>
      </w:pPr>
    </w:p>
    <w:p>
      <w:pPr>
        <w:ind w:left="960" w:right="639" w:hanging="330"/>
        <w:spacing w:after="0" w:line="255" w:lineRule="auto"/>
        <w:tabs>
          <w:tab w:leader="none" w:pos="96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3,818,704 common shares issued upon the conversion on September 11, 2025 of 238,669 convertible notes held by Wilde Ventures GmbH, whose principal offices are located at In der Rehwiese 3, 40629 Düsseldorf, Federal Republic of Germany.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07"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We or any of the selling securityholders, including such selling securityholders’ respective donees, pledgees, transferees, assignees, designees, distributees or other successors-in-interest selling our common shares or interests in our common shares received after the date of this prospectus from such selling securityholders as a gift, pledge, partnership distribution or other transfer other than through a public sale, may sell the offered securities from time to time, separately or together, covered by this prospectus. Registration of the securities covered by this prospectus does not mean, however, that those securities necessarily will be offered or sold.</w:t>
      </w:r>
    </w:p>
    <w:p>
      <w:pPr>
        <w:spacing w:after="0" w:line="79"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but not limited to, the following:</w:t>
      </w:r>
    </w:p>
    <w:p>
      <w:pPr>
        <w:spacing w:after="0" w:line="70" w:lineRule="exact"/>
        <w:rPr>
          <w:sz w:val="20"/>
          <w:szCs w:val="20"/>
          <w:color w:val="auto"/>
        </w:rPr>
      </w:pPr>
    </w:p>
    <w:p>
      <w:pPr>
        <w:ind w:left="1280" w:right="659" w:hanging="319"/>
        <w:spacing w:after="0" w:line="268" w:lineRule="auto"/>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national securities exchange on which our common shares may be listed at the time of sale, including the Nasdaq Global Market (including through “at-the-market” offerings);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over-the-counter market;</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broker-dealers, who may act as agents or principals;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one or more underwriters on a firm commitment or best-efforts basis;</w:t>
      </w:r>
    </w:p>
    <w:p>
      <w:pPr>
        <w:spacing w:after="0" w:line="102"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block trade in which a broker-dealer may attempt to sell a block of common shares as agent or may position and resell all or a portion of the block as principal to facilitate the transaction;</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put or call option transactions relating to our common shares;</w:t>
      </w:r>
    </w:p>
    <w:p>
      <w:pPr>
        <w:spacing w:after="0" w:line="102" w:lineRule="exact"/>
        <w:rPr>
          <w:rFonts w:ascii="Times New Roman" w:cs="Times New Roman" w:eastAsia="Times New Roman" w:hAnsi="Times New Roman"/>
          <w:sz w:val="17"/>
          <w:szCs w:val="17"/>
          <w:color w:val="auto"/>
        </w:rPr>
      </w:pPr>
    </w:p>
    <w:p>
      <w:pPr>
        <w:ind w:left="1280" w:right="639" w:hanging="319"/>
        <w:spacing w:after="0" w:line="268" w:lineRule="auto"/>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through an options exchange or otherwise, and/or the settlement of margin transactions;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one or more purchasers;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loans or pledges of our common shares, including to a broker-dealer or an affiliate thereof; or</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these methods of sale or by any other legally available means.</w:t>
      </w:r>
    </w:p>
    <w:p>
      <w:pPr>
        <w:spacing w:after="0" w:line="103" w:lineRule="exact"/>
        <w:rPr>
          <w:sz w:val="20"/>
          <w:szCs w:val="20"/>
          <w:color w:val="auto"/>
        </w:rPr>
      </w:pPr>
    </w:p>
    <w:p>
      <w:pPr>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In effecting sales, brokers or dealers engaged by us and/or the selling securityholders may arrange for other brokers or dealers to participate. Broker/dealer transactions may include:</w:t>
      </w:r>
    </w:p>
    <w:p>
      <w:pPr>
        <w:spacing w:after="0" w:line="60" w:lineRule="exact"/>
        <w:rPr>
          <w:sz w:val="20"/>
          <w:szCs w:val="20"/>
          <w:color w:val="auto"/>
        </w:rPr>
      </w:pPr>
    </w:p>
    <w:p>
      <w:pPr>
        <w:ind w:left="1280" w:right="659" w:hanging="319"/>
        <w:spacing w:after="0" w:line="268" w:lineRule="auto"/>
        <w:tabs>
          <w:tab w:leader="none" w:pos="12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of our common shares by a broker-dealer as principal and resales of our common shares by the broker-dealer for its account pursuant to this prospectus;</w:t>
      </w:r>
    </w:p>
    <w:p>
      <w:pPr>
        <w:spacing w:after="0" w:line="60"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or</w:t>
      </w:r>
    </w:p>
    <w:p>
      <w:pPr>
        <w:spacing w:after="0" w:line="102" w:lineRule="exact"/>
        <w:rPr>
          <w:rFonts w:ascii="Times New Roman" w:cs="Times New Roman" w:eastAsia="Times New Roman" w:hAnsi="Times New Roman"/>
          <w:sz w:val="17"/>
          <w:szCs w:val="17"/>
          <w:color w:val="auto"/>
        </w:rPr>
      </w:pPr>
    </w:p>
    <w:p>
      <w:pPr>
        <w:ind w:left="1280" w:hanging="319"/>
        <w:spacing w:after="0"/>
        <w:tabs>
          <w:tab w:leader="none" w:pos="12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in which the broker/dealer solicits purchasers on a best efforts basis.</w:t>
      </w:r>
    </w:p>
    <w:p>
      <w:pPr>
        <w:spacing w:after="0" w:line="103"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At any time a particular offer of the common shares covered by this prospectus is made, a revised prospectus or prospectus supplement, if required, will set forth the aggregate amount of common shares covered by this prospectus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prospectus supplement. To the extent required, any such prospectus supplement, and, if necessary, a post-effective amendment to the registration statement of which this prospectus is a part, will be filed with the SEC to reflect the disclosure of additional information with respect to the distribution of the common shares covered by this prospectus.</w:t>
      </w:r>
    </w:p>
    <w:p>
      <w:pPr>
        <w:spacing w:after="0" w:line="84" w:lineRule="exact"/>
        <w:rPr>
          <w:sz w:val="20"/>
          <w:szCs w:val="20"/>
          <w:color w:val="auto"/>
        </w:rPr>
      </w:pPr>
    </w:p>
    <w:p>
      <w:pPr>
        <w:jc w:val="both"/>
        <w:ind w:left="640" w:right="639" w:firstLine="331"/>
        <w:spacing w:after="0" w:line="247" w:lineRule="auto"/>
        <w:rPr>
          <w:sz w:val="20"/>
          <w:szCs w:val="20"/>
          <w:color w:val="auto"/>
        </w:rPr>
      </w:pPr>
      <w:r>
        <w:rPr>
          <w:rFonts w:ascii="Times New Roman" w:cs="Times New Roman" w:eastAsia="Times New Roman" w:hAnsi="Times New Roman"/>
          <w:sz w:val="17"/>
          <w:szCs w:val="17"/>
          <w:color w:val="auto"/>
        </w:rPr>
        <w:t>If the selling securityholders utilize a dealer in the sale of the securities being offered pursuant to this prospectus, the selling securityholders will sell the securities to the dealer, as principal. The dealer may then resell the securities to the public at varying prices to be determined by the dealer at the time of resale. The selling securityholders may also authorize agents or underwriters to solicit offers by certain types of institutional investors to purchase securities at the public offering price set forth in the revised prospectus or prospectus supplement pursuant to delayed delivery contracts providing for payment and delivery on a specified date in the future. The conditions to these contracts and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spacing w:after="0" w:line="300" w:lineRule="auto"/>
        <w:rPr>
          <w:sz w:val="20"/>
          <w:szCs w:val="20"/>
          <w:color w:val="auto"/>
        </w:rPr>
      </w:pPr>
      <w:r>
        <w:rPr>
          <w:rFonts w:ascii="Times New Roman" w:cs="Times New Roman" w:eastAsia="Times New Roman" w:hAnsi="Times New Roman"/>
          <w:sz w:val="16"/>
          <w:szCs w:val="16"/>
          <w:color w:val="auto"/>
        </w:rPr>
        <w:t>commission that the selling securityholders must pay for solicitation of these contracts will be described in a revised prospectus or prospectus supplement, to the extent such revised prospectus or prospectus supplement is required.</w:t>
      </w:r>
    </w:p>
    <w:p>
      <w:pPr>
        <w:spacing w:after="0" w:line="37" w:lineRule="exact"/>
        <w:rPr>
          <w:sz w:val="20"/>
          <w:szCs w:val="20"/>
          <w:color w:val="auto"/>
        </w:rPr>
      </w:pPr>
    </w:p>
    <w:p>
      <w:pPr>
        <w:jc w:val="both"/>
        <w:ind w:left="640" w:right="639" w:firstLine="331"/>
        <w:spacing w:after="0" w:line="248" w:lineRule="auto"/>
        <w:rPr>
          <w:sz w:val="20"/>
          <w:szCs w:val="20"/>
          <w:color w:val="auto"/>
        </w:rPr>
      </w:pPr>
      <w:r>
        <w:rPr>
          <w:rFonts w:ascii="Times New Roman" w:cs="Times New Roman" w:eastAsia="Times New Roman" w:hAnsi="Times New Roman"/>
          <w:sz w:val="17"/>
          <w:szCs w:val="17"/>
          <w:color w:val="auto"/>
        </w:rPr>
        <w:t>The selling securityholders may, from time to time, pledge or grant a security interest in some of the common shares owned by them and, if a selling securityholder defaults in the performance of its secured obligations, the pledgees or secured parties may offer and sell such common shares, as applicable, from time to time, under this prospectus, or under an amendment or supplement to this prospectus. The selling securityholders also may transfer our common shares in other circumstances, in which case the transferees, pledgees or other successors-in-interest will be the selling beneficial owners for purposes of this prospectus.</w:t>
      </w:r>
    </w:p>
    <w:p>
      <w:pPr>
        <w:spacing w:after="0" w:line="79"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In connection with the sale of common shares or interests therein, the selling securityholders may enter into hedging transactions with broker-dealers or other financial institutions, which may in turn engage in short sales of our common shares in the course of hedging the positions they assume. The selling securityholders may also sell common shares short and deliver these securities to close out their short positions, or loan or pledge common shares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the common shares offered by this prospectus, which common shares such broker-dealer or other financial institution may resell pursuant to this prospectus (as supplemented or amended to reflect such transaction).</w:t>
      </w:r>
    </w:p>
    <w:p>
      <w:pPr>
        <w:spacing w:after="0" w:line="84"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In connection with the sale of the common shares covered by this prospectus through underwriters, underwriters may receive compensation in the form of underwriting discounts or commissions and may also receive commissions from purchasers of shares of common shares for whom they may act as agent. Underwriters may sell to or through dealers, and such dealers may receive compensation in the form of discounts, concessions or commissions from the underwriters and/or commissions from the purchasers for whom they may act as agent.</w:t>
      </w:r>
    </w:p>
    <w:p>
      <w:pPr>
        <w:spacing w:after="0" w:line="75" w:lineRule="exact"/>
        <w:rPr>
          <w:sz w:val="20"/>
          <w:szCs w:val="20"/>
          <w:color w:val="auto"/>
        </w:rPr>
      </w:pPr>
    </w:p>
    <w:p>
      <w:pPr>
        <w:jc w:val="both"/>
        <w:ind w:left="640" w:right="639" w:firstLine="331"/>
        <w:spacing w:after="0" w:line="246" w:lineRule="auto"/>
        <w:rPr>
          <w:sz w:val="20"/>
          <w:szCs w:val="20"/>
          <w:color w:val="auto"/>
        </w:rPr>
      </w:pPr>
      <w:r>
        <w:rPr>
          <w:rFonts w:ascii="Times New Roman" w:cs="Times New Roman" w:eastAsia="Times New Roman" w:hAnsi="Times New Roman"/>
          <w:sz w:val="17"/>
          <w:szCs w:val="17"/>
          <w:color w:val="auto"/>
        </w:rPr>
        <w:t>Any common shares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79" w:lineRule="exact"/>
        <w:rPr>
          <w:sz w:val="20"/>
          <w:szCs w:val="20"/>
          <w:color w:val="auto"/>
        </w:rPr>
      </w:pPr>
    </w:p>
    <w:p>
      <w:pPr>
        <w:jc w:val="both"/>
        <w:ind w:left="640" w:right="639" w:firstLine="331"/>
        <w:spacing w:after="0" w:line="245" w:lineRule="auto"/>
        <w:rPr>
          <w:sz w:val="20"/>
          <w:szCs w:val="20"/>
          <w:color w:val="auto"/>
        </w:rPr>
      </w:pPr>
      <w:r>
        <w:rPr>
          <w:rFonts w:ascii="Times New Roman" w:cs="Times New Roman" w:eastAsia="Times New Roman" w:hAnsi="Times New Roman"/>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8" w:lineRule="exact"/>
        <w:rPr>
          <w:sz w:val="20"/>
          <w:szCs w:val="20"/>
          <w:color w:val="auto"/>
        </w:rPr>
      </w:pPr>
    </w:p>
    <w:p>
      <w:pPr>
        <w:jc w:val="both"/>
        <w:ind w:left="640" w:right="639" w:firstLine="331"/>
        <w:spacing w:after="0" w:line="268" w:lineRule="auto"/>
        <w:rPr>
          <w:sz w:val="20"/>
          <w:szCs w:val="20"/>
          <w:color w:val="auto"/>
        </w:rPr>
      </w:pPr>
      <w:r>
        <w:rPr>
          <w:rFonts w:ascii="Times New Roman" w:cs="Times New Roman" w:eastAsia="Times New Roman" w:hAnsi="Times New Roman"/>
          <w:sz w:val="17"/>
          <w:szCs w:val="17"/>
          <w:color w:val="auto"/>
        </w:rPr>
        <w:t>The specific terms of any lock-up provisions in respect of any given offering will be described in the applicable prospectus supplement.</w:t>
      </w:r>
    </w:p>
    <w:p>
      <w:pPr>
        <w:spacing w:after="0" w:line="60"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Any underwriters, broker/dealers or agents participating in the distribution of common shares covered by this prospectus may be deemed to be “underwriters” within the meaning of the Securities Act, and any commissions received by any of those underwriters, broker/dealers or agents may be deemed to be underwriting commissions under the Securities Act. A selling securityholder may be deemed to be an “underwriter” within the meaning of the Securities Act with respect to the sale of the common shares covered by this prospectus.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We and the selling securityholders may agree to indemnify underwriters, broker-dealers or agents against certain liabilities, including liabilities under the Securities Act and may also agree to contribute to payments which the underwriters, broker/dealers or agents may be required to make.</w:t>
      </w:r>
    </w:p>
    <w:p>
      <w:pPr>
        <w:spacing w:after="0" w:line="70"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Certain of the underwriters, broker/dealers or agents who may become involved in the sale of our common shares may engage in transactions with and perform other services for us in the ordinary course of their business for which they receive customary compensation.</w:t>
      </w:r>
    </w:p>
    <w:p>
      <w:pPr>
        <w:spacing w:after="0" w:line="70" w:lineRule="exact"/>
        <w:rPr>
          <w:sz w:val="20"/>
          <w:szCs w:val="20"/>
          <w:color w:val="auto"/>
        </w:rPr>
      </w:pPr>
    </w:p>
    <w:p>
      <w:pPr>
        <w:jc w:val="both"/>
        <w:ind w:left="640" w:right="639" w:firstLine="331"/>
        <w:spacing w:after="0" w:line="256" w:lineRule="auto"/>
        <w:rPr>
          <w:sz w:val="20"/>
          <w:szCs w:val="20"/>
          <w:color w:val="auto"/>
        </w:rPr>
      </w:pPr>
      <w:r>
        <w:rPr>
          <w:rFonts w:ascii="Times New Roman" w:cs="Times New Roman" w:eastAsia="Times New Roman" w:hAnsi="Times New Roman"/>
          <w:sz w:val="17"/>
          <w:szCs w:val="17"/>
          <w:color w:val="auto"/>
        </w:rPr>
        <w:t>Some of the common shares covered by this prospectus may be sold by selling securityholders in private transactions or under Rule 144 under the Securities Act or another available exemption from the registration requirements of the Securities Act rather than pursuant to this prospectus.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382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2" w:name="page63"/>
    <w:bookmarkEnd w:id="62"/>
    <w:p>
      <w:pPr>
        <w:ind w:left="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7" w:lineRule="exact"/>
        <w:rPr>
          <w:sz w:val="20"/>
          <w:szCs w:val="20"/>
          <w:color w:val="auto"/>
        </w:rPr>
      </w:pPr>
    </w:p>
    <w:p>
      <w:pPr>
        <w:jc w:val="both"/>
        <w:ind w:left="640" w:right="639" w:firstLine="331"/>
        <w:spacing w:after="0" w:line="252" w:lineRule="auto"/>
        <w:rPr>
          <w:sz w:val="20"/>
          <w:szCs w:val="20"/>
          <w:color w:val="auto"/>
        </w:rPr>
      </w:pPr>
      <w:r>
        <w:rPr>
          <w:rFonts w:ascii="Times New Roman" w:cs="Times New Roman" w:eastAsia="Times New Roman" w:hAnsi="Times New Roman"/>
          <w:sz w:val="17"/>
          <w:szCs w:val="17"/>
          <w:color w:val="auto"/>
        </w:rPr>
        <w:t>Latham &amp; Watkins LLP will pass upon certain legal matters relating to the issuance and sale of the debt securities, warrants and units. NautaDutilh N.V. will pass upon certain legal matters relating to the issuance of the common shares. Additional legal matters may be passed upon for us or any underwriters, dealers or agents, by counsel that we will name in the applicable prospectus supplement.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7"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The financial statements of ATAI Life Sciences N.V. as of December 31, 2024 and 2023, and for each of the two years in the period ended December 31, 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75" w:lineRule="exact"/>
        <w:rPr>
          <w:sz w:val="20"/>
          <w:szCs w:val="20"/>
          <w:color w:val="auto"/>
        </w:rPr>
      </w:pPr>
    </w:p>
    <w:p>
      <w:pPr>
        <w:jc w:val="both"/>
        <w:ind w:left="640" w:right="639" w:firstLine="331"/>
        <w:spacing w:after="0" w:line="250" w:lineRule="auto"/>
        <w:rPr>
          <w:sz w:val="20"/>
          <w:szCs w:val="20"/>
          <w:color w:val="auto"/>
        </w:rPr>
      </w:pPr>
      <w:r>
        <w:rPr>
          <w:rFonts w:ascii="Times New Roman" w:cs="Times New Roman" w:eastAsia="Times New Roman" w:hAnsi="Times New Roman"/>
          <w:sz w:val="17"/>
          <w:szCs w:val="17"/>
          <w:color w:val="auto"/>
        </w:rPr>
        <w:t>The audited historical financial statements of Beckley Psytech Limited included in Exhibit 99.1 of ATAI Life Sciences N.V.’s Current Report on Form 8-K, dated September 29, 2025, have been so incorporated in reliance on the report (which contains an explanatory paragraph relating to the Beckley Psytech Limited’s ability to continue as a going concern as described in Note 1 to the financial statements) of PricewaterhouseCoopers LLP, independent auditors, given on the authority of said firm as experts in auditing and accounting.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114935</wp:posOffset>
            </wp:positionV>
            <wp:extent cx="643382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643382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3" w:name="page64"/>
    <w:bookmarkEnd w:id="63"/>
    <w:p>
      <w:pPr>
        <w:ind w:left="7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92710</wp:posOffset>
            </wp:positionV>
            <wp:extent cx="479361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4793615" cy="1587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155575</wp:posOffset>
            </wp:positionV>
            <wp:extent cx="479361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4793615" cy="762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1748155</wp:posOffset>
            </wp:positionV>
            <wp:extent cx="3886835" cy="756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3886835" cy="756920"/>
                    </a:xfrm>
                    <a:prstGeom prst="rect">
                      <a:avLst/>
                    </a:prstGeom>
                    <a:noFill/>
                  </pic:spPr>
                </pic:pic>
              </a:graphicData>
            </a:graphic>
          </wp:anchor>
        </w:drawing>
      </w:r>
    </w:p>
    <w:p>
      <w:pPr>
        <w:sectPr>
          <w:pgSz w:w="11900" w:h="16838" w:orient="portrait"/>
          <w:cols w:equalWidth="0" w:num="1">
            <w:col w:w="9019"/>
          </w:cols>
          <w:pgMar w:left="1440" w:top="254" w:right="1440" w:bottom="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123,134,069 Common Shares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Registered for the Securityholders Named Herein Pursuant to the Registration Rights Agreement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Connection with the Completed Acquisition of Beckley Psytech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837565</wp:posOffset>
            </wp:positionV>
            <wp:extent cx="100901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10090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165100</wp:posOffset>
            </wp:positionV>
            <wp:extent cx="100901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1009015" cy="7620"/>
                    </a:xfrm>
                    <a:prstGeom prst="rect">
                      <a:avLst/>
                    </a:prstGeom>
                    <a:noFill/>
                  </pic:spPr>
                </pic:pic>
              </a:graphicData>
            </a:graphic>
          </wp:anchor>
        </w:drawing>
      </w:r>
    </w:p>
    <w:p>
      <w:pPr>
        <w:sectPr>
          <w:pgSz w:w="11900" w:h="16838" w:orient="portrait"/>
          <w:cols w:equalWidth="0" w:num="1">
            <w:col w:w="9019"/>
          </w:cols>
          <w:pgMar w:left="1440" w:top="254" w:right="1440" w:bottom="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148590</wp:posOffset>
            </wp:positionV>
            <wp:extent cx="479361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4793615" cy="762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203835</wp:posOffset>
            </wp:positionV>
            <wp:extent cx="479361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4793615" cy="15875"/>
                    </a:xfrm>
                    <a:prstGeom prst="rect">
                      <a:avLst/>
                    </a:prstGeom>
                    <a:noFill/>
                  </pic:spPr>
                </pic:pic>
              </a:graphicData>
            </a:graphic>
          </wp:anchor>
        </w:drawing>
      </w:r>
    </w:p>
    <w:p>
      <w:pPr>
        <w:sectPr>
          <w:pgSz w:w="11900" w:h="16838" w:orient="portrait"/>
          <w:cols w:equalWidth="0" w:num="1">
            <w:col w:w="9019"/>
          </w:cols>
          <w:pgMar w:left="1440" w:top="254" w:right="1440" w:bottom="52" w:gutter="0" w:footer="0" w:header="0"/>
          <w:type w:val="continuous"/>
        </w:sectPr>
      </w:pPr>
    </w:p>
    <w:bookmarkStart w:id="64" w:name="page65"/>
    <w:bookmarkEnd w:id="64"/>
    <w:p>
      <w:pPr>
        <w:ind w:left="10421"/>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115"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107</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Form 424(b)(7)</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(Form Type)</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Atai Beckley N.V.</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28" w:lineRule="exact"/>
        <w:rPr>
          <w:sz w:val="20"/>
          <w:szCs w:val="20"/>
          <w:color w:val="auto"/>
        </w:rPr>
      </w:pPr>
    </w:p>
    <w:tbl>
      <w:tblPr>
        <w:tblLayout w:type="fixed"/>
        <w:tblInd w:w="11" w:type="dxa"/>
        <w:tblCellMar>
          <w:top w:w="0" w:type="dxa"/>
          <w:left w:w="0" w:type="dxa"/>
          <w:bottom w:w="0" w:type="dxa"/>
          <w:right w:w="0" w:type="dxa"/>
        </w:tblCellMar>
      </w:tblPr>
      <w:tr>
        <w:trPr>
          <w:trHeight w:val="215"/>
        </w:trPr>
        <w:tc>
          <w:tcPr>
            <w:tcW w:w="800" w:type="dxa"/>
            <w:vAlign w:val="bottom"/>
            <w:tcBorders>
              <w:top w:val="single" w:sz="8" w:color="auto"/>
              <w:left w:val="single" w:sz="8" w:color="auto"/>
              <w:right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Filing Fee</w:t>
            </w:r>
          </w:p>
        </w:tc>
      </w:tr>
      <w:tr>
        <w:trPr>
          <w:trHeight w:val="199"/>
        </w:trPr>
        <w:tc>
          <w:tcPr>
            <w:tcW w:w="8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Previously</w:t>
            </w:r>
          </w:p>
        </w:tc>
      </w:tr>
      <w:tr>
        <w:trPr>
          <w:trHeight w:val="199"/>
        </w:trPr>
        <w:tc>
          <w:tcPr>
            <w:tcW w:w="8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Paid In</w:t>
            </w:r>
          </w:p>
        </w:tc>
      </w:tr>
      <w:tr>
        <w:trPr>
          <w:trHeight w:val="199"/>
        </w:trPr>
        <w:tc>
          <w:tcPr>
            <w:tcW w:w="8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Connection</w:t>
            </w:r>
          </w:p>
        </w:tc>
      </w:tr>
      <w:tr>
        <w:trPr>
          <w:trHeight w:val="199"/>
        </w:trPr>
        <w:tc>
          <w:tcPr>
            <w:tcW w:w="8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199"/>
        </w:trPr>
        <w:tc>
          <w:tcPr>
            <w:tcW w:w="8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11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Proposed</w:t>
            </w:r>
          </w:p>
        </w:tc>
        <w:tc>
          <w:tcPr>
            <w:tcW w:w="11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Unsold</w:t>
            </w:r>
          </w:p>
        </w:tc>
      </w:tr>
      <w:tr>
        <w:trPr>
          <w:trHeight w:val="199"/>
        </w:trPr>
        <w:tc>
          <w:tcPr>
            <w:tcW w:w="8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Calculation</w:t>
            </w:r>
          </w:p>
        </w:tc>
        <w:tc>
          <w:tcPr>
            <w:tcW w:w="11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Maximum</w:t>
            </w:r>
          </w:p>
        </w:tc>
        <w:tc>
          <w:tcPr>
            <w:tcW w:w="11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Securities</w:t>
            </w:r>
          </w:p>
        </w:tc>
      </w:tr>
      <w:tr>
        <w:trPr>
          <w:trHeight w:val="199"/>
        </w:trPr>
        <w:tc>
          <w:tcPr>
            <w:tcW w:w="8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or Carry</w:t>
            </w:r>
          </w:p>
        </w:tc>
        <w:tc>
          <w:tcPr>
            <w:tcW w:w="11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8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 of</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to Be</w:t>
            </w:r>
          </w:p>
        </w:tc>
      </w:tr>
      <w:tr>
        <w:trPr>
          <w:trHeight w:val="199"/>
        </w:trPr>
        <w:tc>
          <w:tcPr>
            <w:tcW w:w="80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1140" w:type="dxa"/>
            <w:vAlign w:val="bottom"/>
            <w:tcBorders>
              <w:right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 Per</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Aggregate</w:t>
            </w:r>
          </w:p>
        </w:tc>
        <w:tc>
          <w:tcPr>
            <w:tcW w:w="8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Registration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Carried</w:t>
            </w:r>
          </w:p>
        </w:tc>
      </w:tr>
      <w:tr>
        <w:trPr>
          <w:trHeight w:val="244"/>
        </w:trPr>
        <w:tc>
          <w:tcPr>
            <w:tcW w:w="800" w:type="dxa"/>
            <w:vAlign w:val="bottom"/>
            <w:tcBorders>
              <w:left w:val="single" w:sz="8" w:color="auto"/>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1140" w:type="dxa"/>
            <w:vAlign w:val="bottom"/>
            <w:tcBorders>
              <w:bottom w:val="single" w:sz="8" w:color="auto"/>
              <w:right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Unit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Offering Price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Fee 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r>
      <w:tr>
        <w:trPr>
          <w:trHeight w:val="191"/>
        </w:trPr>
        <w:tc>
          <w:tcPr>
            <w:tcW w:w="80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left="97"/>
              <w:spacing w:after="0" w:line="191" w:lineRule="exact"/>
              <w:rPr>
                <w:sz w:val="20"/>
                <w:szCs w:val="20"/>
                <w:color w:val="auto"/>
              </w:rPr>
            </w:pPr>
            <w:r>
              <w:rPr>
                <w:rFonts w:ascii="Times New Roman" w:cs="Times New Roman" w:eastAsia="Times New Roman" w:hAnsi="Times New Roman"/>
                <w:sz w:val="17"/>
                <w:szCs w:val="17"/>
                <w:b w:val="1"/>
                <w:bCs w:val="1"/>
                <w:color w:val="auto"/>
                <w:w w:val="97"/>
              </w:rPr>
              <w:t>Newly Registered Securities</w:t>
            </w:r>
          </w:p>
        </w:tc>
        <w:tc>
          <w:tcPr>
            <w:tcW w:w="10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r>
      <w:tr>
        <w:trPr>
          <w:trHeight w:val="199"/>
        </w:trPr>
        <w:tc>
          <w:tcPr>
            <w:tcW w:w="800" w:type="dxa"/>
            <w:vAlign w:val="bottom"/>
            <w:tcBorders>
              <w:left w:val="single" w:sz="8" w:color="auto"/>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Secondary</w:t>
            </w:r>
          </w:p>
        </w:tc>
        <w:tc>
          <w:tcPr>
            <w:tcW w:w="86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199"/>
        </w:trPr>
        <w:tc>
          <w:tcPr>
            <w:tcW w:w="800" w:type="dxa"/>
            <w:vAlign w:val="bottom"/>
            <w:tcBorders>
              <w:left w:val="single" w:sz="8" w:color="auto"/>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Offering:</w:t>
            </w:r>
          </w:p>
        </w:tc>
        <w:tc>
          <w:tcPr>
            <w:tcW w:w="86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199"/>
        </w:trPr>
        <w:tc>
          <w:tcPr>
            <w:tcW w:w="800" w:type="dxa"/>
            <w:vAlign w:val="bottom"/>
            <w:tcBorders>
              <w:left w:val="single" w:sz="8" w:color="auto"/>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6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199"/>
        </w:trPr>
        <w:tc>
          <w:tcPr>
            <w:tcW w:w="800" w:type="dxa"/>
            <w:vAlign w:val="bottom"/>
            <w:tcBorders>
              <w:left w:val="single" w:sz="8" w:color="auto"/>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shares,</w:t>
            </w:r>
          </w:p>
        </w:tc>
        <w:tc>
          <w:tcPr>
            <w:tcW w:w="86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199"/>
        </w:trPr>
        <w:tc>
          <w:tcPr>
            <w:tcW w:w="800" w:type="dxa"/>
            <w:vAlign w:val="bottom"/>
            <w:tcBorders>
              <w:left w:val="single" w:sz="8" w:color="auto"/>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par value</w:t>
            </w:r>
          </w:p>
        </w:tc>
        <w:tc>
          <w:tcPr>
            <w:tcW w:w="86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199"/>
        </w:trPr>
        <w:tc>
          <w:tcPr>
            <w:tcW w:w="8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w:t>
            </w:r>
          </w:p>
        </w:tc>
        <w:tc>
          <w:tcPr>
            <w:tcW w:w="6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€0.10 per</w:t>
            </w:r>
          </w:p>
        </w:tc>
        <w:tc>
          <w:tcPr>
            <w:tcW w:w="86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45"/>
        </w:trPr>
        <w:tc>
          <w:tcPr>
            <w:tcW w:w="8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Be Paid</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Rule 457(c)</w:t>
            </w: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5"/>
              </w:rPr>
              <w:t>123,134,069 (1)</w:t>
            </w:r>
          </w:p>
        </w:tc>
        <w:tc>
          <w:tcPr>
            <w:tcW w:w="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$3.79 (2)</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$466,678,121.51</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0.00013810</w:t>
            </w: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$64,448.25</w:t>
            </w: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88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191"/>
        </w:trPr>
        <w:tc>
          <w:tcPr>
            <w:tcW w:w="800" w:type="dxa"/>
            <w:vAlign w:val="bottom"/>
            <w:tcBorders>
              <w:top w:val="single" w:sz="8" w:color="auto"/>
              <w:left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2760" w:type="dxa"/>
            <w:vAlign w:val="bottom"/>
            <w:tcBorders>
              <w:top w:val="single" w:sz="8" w:color="auto"/>
              <w:bottom w:val="single" w:sz="8" w:color="auto"/>
            </w:tcBorders>
            <w:gridSpan w:val="3"/>
          </w:tcPr>
          <w:p>
            <w:pPr>
              <w:jc w:val="center"/>
              <w:ind w:left="97"/>
              <w:spacing w:after="0" w:line="191" w:lineRule="exact"/>
              <w:rPr>
                <w:sz w:val="20"/>
                <w:szCs w:val="20"/>
                <w:color w:val="auto"/>
              </w:rPr>
            </w:pPr>
            <w:r>
              <w:rPr>
                <w:rFonts w:ascii="Times New Roman" w:cs="Times New Roman" w:eastAsia="Times New Roman" w:hAnsi="Times New Roman"/>
                <w:sz w:val="17"/>
                <w:szCs w:val="17"/>
                <w:b w:val="1"/>
                <w:bCs w:val="1"/>
                <w:color w:val="auto"/>
                <w:w w:val="96"/>
              </w:rPr>
              <w:t>Carry Forward Securities</w:t>
            </w:r>
          </w:p>
        </w:tc>
        <w:tc>
          <w:tcPr>
            <w:tcW w:w="10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right w:val="single" w:sz="8" w:color="auto"/>
            </w:tcBorders>
          </w:tcPr>
          <w:p>
            <w:pPr>
              <w:spacing w:after="0"/>
              <w:rPr>
                <w:sz w:val="16"/>
                <w:szCs w:val="16"/>
                <w:color w:val="auto"/>
              </w:rPr>
            </w:pPr>
          </w:p>
        </w:tc>
      </w:tr>
      <w:tr>
        <w:trPr>
          <w:trHeight w:val="199"/>
        </w:trPr>
        <w:tc>
          <w:tcPr>
            <w:tcW w:w="8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Carry</w:t>
            </w:r>
          </w:p>
        </w:tc>
        <w:tc>
          <w:tcPr>
            <w:tcW w:w="6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199"/>
        </w:trPr>
        <w:tc>
          <w:tcPr>
            <w:tcW w:w="8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Forward</w:t>
            </w:r>
          </w:p>
        </w:tc>
        <w:tc>
          <w:tcPr>
            <w:tcW w:w="640" w:type="dxa"/>
            <w:vAlign w:val="bottom"/>
            <w:tcBorders>
              <w:right w:val="single" w:sz="8" w:color="auto"/>
            </w:tcBorders>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45"/>
        </w:trPr>
        <w:tc>
          <w:tcPr>
            <w:tcW w:w="80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8"/>
              </w:rPr>
              <w:t>Securities</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16"/>
        </w:trPr>
        <w:tc>
          <w:tcPr>
            <w:tcW w:w="800" w:type="dxa"/>
            <w:vAlign w:val="bottom"/>
            <w:tcBorders>
              <w:top w:val="single" w:sz="8" w:color="auto"/>
              <w:left w:val="single" w:sz="8" w:color="auto"/>
              <w:righ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0" w:type="dxa"/>
            <w:vAlign w:val="bottom"/>
            <w:tcBorders>
              <w:top w:val="single" w:sz="8" w:color="auto"/>
              <w:right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78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$466,678,121.51</w:t>
            </w:r>
          </w:p>
        </w:tc>
        <w:tc>
          <w:tcPr>
            <w:tcW w:w="82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$64,448.25</w:t>
            </w: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4"/>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46"/>
        </w:trPr>
        <w:tc>
          <w:tcPr>
            <w:tcW w:w="80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spacing w:after="0"/>
              <w:rPr>
                <w:sz w:val="20"/>
                <w:szCs w:val="20"/>
                <w:color w:val="auto"/>
              </w:rPr>
            </w:pPr>
          </w:p>
        </w:tc>
        <w:tc>
          <w:tcPr>
            <w:tcW w:w="2000" w:type="dxa"/>
            <w:vAlign w:val="bottom"/>
            <w:tcBorders>
              <w:bottom w:val="single" w:sz="8" w:color="CCEEFF"/>
              <w:right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5"/>
              </w:rPr>
              <w:t>Total Fees Previously Paid</w:t>
            </w: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1160" w:type="dxa"/>
            <w:vAlign w:val="bottom"/>
            <w:tcBorders>
              <w:bottom w:val="single" w:sz="8" w:color="CCEEFF"/>
              <w:right w:val="single" w:sz="8" w:color="auto"/>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88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16"/>
        </w:trPr>
        <w:tc>
          <w:tcPr>
            <w:tcW w:w="800" w:type="dxa"/>
            <w:vAlign w:val="bottom"/>
            <w:tcBorders>
              <w:top w:val="single" w:sz="8" w:color="auto"/>
              <w:left w:val="single" w:sz="8" w:color="auto"/>
              <w:righ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0" w:type="dxa"/>
            <w:vAlign w:val="bottom"/>
            <w:tcBorders>
              <w:top w:val="single" w:sz="8" w:color="auto"/>
              <w:right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78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4"/>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21"/>
        </w:trPr>
        <w:tc>
          <w:tcPr>
            <w:tcW w:w="80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640" w:type="dxa"/>
            <w:vAlign w:val="bottom"/>
            <w:tcBorders>
              <w:bottom w:val="single" w:sz="8" w:color="CCEEFF"/>
              <w:right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shd w:val="clear" w:color="auto" w:fill="CCEEFF"/>
          </w:tcPr>
          <w:p>
            <w:pPr>
              <w:spacing w:after="0"/>
              <w:rPr>
                <w:sz w:val="19"/>
                <w:szCs w:val="19"/>
                <w:color w:val="auto"/>
              </w:rPr>
            </w:pPr>
          </w:p>
        </w:tc>
        <w:tc>
          <w:tcPr>
            <w:tcW w:w="1140" w:type="dxa"/>
            <w:vAlign w:val="bottom"/>
            <w:tcBorders>
              <w:bottom w:val="single" w:sz="8" w:color="CCEEFF"/>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780" w:type="dxa"/>
            <w:vAlign w:val="bottom"/>
            <w:tcBorders>
              <w:bottom w:val="single" w:sz="8" w:color="CCEEFF"/>
              <w:right w:val="single" w:sz="8" w:color="auto"/>
            </w:tcBorders>
            <w:shd w:val="clear" w:color="auto" w:fill="CCEEFF"/>
          </w:tcPr>
          <w:p>
            <w:pPr>
              <w:spacing w:after="0"/>
              <w:rPr>
                <w:sz w:val="19"/>
                <w:szCs w:val="19"/>
                <w:color w:val="auto"/>
              </w:rPr>
            </w:pPr>
          </w:p>
        </w:tc>
        <w:tc>
          <w:tcPr>
            <w:tcW w:w="116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$64,448.25</w:t>
            </w: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
        </w:trPr>
        <w:tc>
          <w:tcPr>
            <w:tcW w:w="8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241" w:right="340" w:hanging="241"/>
        <w:spacing w:after="0" w:line="279" w:lineRule="auto"/>
        <w:tabs>
          <w:tab w:leader="none" w:pos="24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this secondary offering, this prospectus supplement registers 123,134,069 common shares to be sold by the selling securityholders named therein. Pursuant to Rule 416 under the Securities Act of 1933, as amended, or the Securities Act, this prospectus supplement also relates to an indeterminate number of additional common shares that may be issued with respect to such common shares by way of stock splits, stock dividends, reclassifications or similar transactions.</w:t>
      </w:r>
    </w:p>
    <w:p>
      <w:pPr>
        <w:spacing w:after="0" w:line="41" w:lineRule="exact"/>
        <w:rPr>
          <w:rFonts w:ascii="Times New Roman" w:cs="Times New Roman" w:eastAsia="Times New Roman" w:hAnsi="Times New Roman"/>
          <w:sz w:val="16"/>
          <w:szCs w:val="16"/>
          <w:color w:val="auto"/>
        </w:rPr>
      </w:pPr>
    </w:p>
    <w:p>
      <w:pPr>
        <w:ind w:left="241" w:right="280" w:hanging="241"/>
        <w:spacing w:after="0" w:line="256" w:lineRule="auto"/>
        <w:tabs>
          <w:tab w:leader="none" w:pos="24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purposes of calculating the registration fee pursuant to Rule 457(c) under the Securities Act, on the basis of the average of the high and low prices for a common share as reported on the Nasdaq Global Market on December 1, 2025, which date is a date within five business days of the filing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714311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sectPr>
      <w:pgSz w:w="11900" w:h="16838" w:orient="portrait"/>
      <w:cols w:equalWidth="0" w:num="1">
        <w:col w:w="11341"/>
      </w:cols>
      <w:pgMar w:left="319" w:top="2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decimal"/>
      <w:start w:val="40"/>
    </w:lvl>
  </w:abstractNum>
  <w:abstractNum w:abstractNumId="6">
    <w:nsid w:val="2443A858"/>
    <w:multiLevelType w:val="hybridMultilevel"/>
    <w:lvl w:ilvl="0">
      <w:lvlJc w:val="left"/>
      <w:lvlText w:val="(%1)"/>
      <w:numFmt w:val="decimal"/>
      <w:start w:val="84"/>
    </w:lvl>
  </w:abstractNum>
  <w:abstractNum w:abstractNumId="7">
    <w:nsid w:val="2D1D5AE9"/>
    <w:multiLevelType w:val="hybridMultilevel"/>
    <w:lvl w:ilvl="0">
      <w:lvlJc w:val="left"/>
      <w:lvlText w:val="(%1)"/>
      <w:numFmt w:val="decimal"/>
      <w:start w:val="126"/>
    </w:lvl>
  </w:abstractNum>
  <w:abstractNum w:abstractNumId="8">
    <w:nsid w:val="6763845E"/>
    <w:multiLevelType w:val="hybridMultilevel"/>
    <w:lvl w:ilvl="0">
      <w:lvlJc w:val="left"/>
      <w:lvlText w:val="(%1)"/>
      <w:numFmt w:val="decimal"/>
      <w:start w:val="161"/>
    </w:lvl>
  </w:abstractNum>
  <w:abstractNum w:abstractNumId="9">
    <w:nsid w:val="75A2A8D4"/>
    <w:multiLevelType w:val="hybridMultilevel"/>
    <w:lvl w:ilvl="0">
      <w:lvlJc w:val="left"/>
      <w:lvlText w:val="(%1)"/>
      <w:numFmt w:val="decimal"/>
      <w:start w:val="206"/>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Roman"/>
      <w:start w:val="2"/>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0"/>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5" Type="http://schemas.openxmlformats.org/officeDocument/2006/relationships/image" Target="media/image6.png"/><Relationship Id="rId36" Type="http://schemas.openxmlformats.org/officeDocument/2006/relationships/image" Target="media/image7.png"/><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jpe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jpe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3" Type="http://schemas.openxmlformats.org/officeDocument/2006/relationships/hyperlink" Target="https://www.sec.gov/Archives/edgar/data/1840904/000095017025040244/atai-20241231.htm" TargetMode="External"/><Relationship Id="rId14" Type="http://schemas.openxmlformats.org/officeDocument/2006/relationships/hyperlink" Target="https://www.sec.gov/Archives/edgar/data/1840904/000114036125014732/ny20044396x2_def14a.htm" TargetMode="External"/><Relationship Id="rId15" Type="http://schemas.openxmlformats.org/officeDocument/2006/relationships/hyperlink" Target="https://www.sec.gov/Archives/edgar/data/1840904/000114036125036024/ny20050228x6_defm14a.htm" TargetMode="External"/><Relationship Id="rId16" Type="http://schemas.openxmlformats.org/officeDocument/2006/relationships/hyperlink" Target="https://www.sec.gov/Archives/edgar/data/1840904/000095017025071435/atai-20250331.htm" TargetMode="External"/><Relationship Id="rId17" Type="http://schemas.openxmlformats.org/officeDocument/2006/relationships/hyperlink" Target="https://www.sec.gov/Archives/edgar/data/1840904/000095017025108883/atai-20250630.htm" TargetMode="External"/><Relationship Id="rId18" Type="http://schemas.openxmlformats.org/officeDocument/2006/relationships/hyperlink" Target="https://www.sec.gov/Archives/edgar/data/1840904/000119312525277583/atai-20250930.htm" TargetMode="External"/><Relationship Id="rId19" Type="http://schemas.openxmlformats.org/officeDocument/2006/relationships/hyperlink" Target="https://www.sec.gov/Archives/edgar/data/1840904/000114036125004342/ny20043283x2_8k.htm" TargetMode="External"/><Relationship Id="rId20" Type="http://schemas.openxmlformats.org/officeDocument/2006/relationships/hyperlink" Target="https://www.sec.gov/Archives/edgar/data/1840904/000114036125016660/ef20048125_8k.htm" TargetMode="External"/><Relationship Id="rId21" Type="http://schemas.openxmlformats.org/officeDocument/2006/relationships/hyperlink" Target="https://www.sec.gov/Archives/edgar/data/1840904/000114036125017962/ef20048578_8k.htm" TargetMode="External"/><Relationship Id="rId22" Type="http://schemas.openxmlformats.org/officeDocument/2006/relationships/hyperlink" Target="https://www.sec.gov/Archives/edgar/data/1840904/000114036125020052/ef20049456_8k.htm" TargetMode="External"/><Relationship Id="rId23" Type="http://schemas.openxmlformats.org/officeDocument/2006/relationships/hyperlink" Target="https://www.sec.gov/Archives/edgar/data/1840904/000114036125021024/ef20050047_8k.htm" TargetMode="External"/><Relationship Id="rId24" Type="http://schemas.openxmlformats.org/officeDocument/2006/relationships/hyperlink" Target="https://www.sec.gov/Archives/edgar/data/1840904/000114036125024290/ef20051402_8k.htm" TargetMode="External"/><Relationship Id="rId25" Type="http://schemas.openxmlformats.org/officeDocument/2006/relationships/hyperlink" Target="https://www.sec.gov/Archives/edgar/data/1840904/000114036125035777/ef20055927_8k.htm" TargetMode="External"/><Relationship Id="rId26" Type="http://schemas.openxmlformats.org/officeDocument/2006/relationships/hyperlink" Target="https://www.sec.gov/Archives/edgar/data/1840904/000114036125036537/ny20050228x7_8k.htm" TargetMode="External"/><Relationship Id="rId27" Type="http://schemas.openxmlformats.org/officeDocument/2006/relationships/hyperlink" Target="https://www.sec.gov/Archives/edgar/data/1840904/000114036125037941/ef20056757_8k.htm" TargetMode="External"/><Relationship Id="rId28" Type="http://schemas.openxmlformats.org/officeDocument/2006/relationships/hyperlink" Target="https://www.sec.gov/Archives/edgar/data/1840904/000114036125038319/ny20057248x2_8k.htm" TargetMode="External"/><Relationship Id="rId29" Type="http://schemas.openxmlformats.org/officeDocument/2006/relationships/hyperlink" Target="https://www.sec.gov/Archives/edgar/data/1840904/000114036125038525/ef20057374_8k.htm" TargetMode="External"/><Relationship Id="rId30" Type="http://schemas.openxmlformats.org/officeDocument/2006/relationships/hyperlink" Target="https://www.sec.gov/Archives/edgar/data/1840904/000114036125038748/ef20057467_8k.htm" TargetMode="External"/><Relationship Id="rId31" Type="http://schemas.openxmlformats.org/officeDocument/2006/relationships/hyperlink" Target="https://www.sec.gov/Archives/edgar/data/1840904/000114036125039317/ny20057479x1_8k.htm" TargetMode="External"/><Relationship Id="rId32" Type="http://schemas.openxmlformats.org/officeDocument/2006/relationships/hyperlink" Target="https://www.sec.gov/Archives/edgar/data/1840904/000114036125040358/ef20058230_8k.htm" TargetMode="External"/><Relationship Id="rId33" Type="http://schemas.openxmlformats.org/officeDocument/2006/relationships/hyperlink" Target="https://www.sec.gov/Archives/edgar/data/1840904/000114036125040429/ef20058318_8k.htm" TargetMode="External"/><Relationship Id="rId34" Type="http://schemas.openxmlformats.org/officeDocument/2006/relationships/hyperlink" Target="https://www.sec.gov/Archives/edgar/data/1840904/000119312521189595/d153783d8a12b.htm" TargetMode="External"/><Relationship Id="rId63" Type="http://schemas.openxmlformats.org/officeDocument/2006/relationships/hyperlink" Target="https://www.sec.gov/ix?doc=/Archives/edgar/data/1840904/000114036125035777/ef20055927_8k.htm" TargetMode="External"/><Relationship Id="rId64" Type="http://schemas.openxmlformats.org/officeDocument/2006/relationships/hyperlink" Target="https://www.sec.gov/ix?doc=/Archives/edgar/data/1840904/000114036125036537/ny20050228x7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2025-12-05T15:58:45Z</dcterms:created>
  <dcterms:modified xsi:type="dcterms:W3CDTF">2025-12-05T15:58:45Z</dcterms:modified>
</cp:coreProperties>
</file>