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8123_defa14a.htm"/>
      <w:bookmarkStart w:id="1" w:name="ksef20078123_defa14a"/>
      <w:bookmarkStart w:id="2" w:name="ef20078123_defa14a.htm"/>
      <w:bookmarkStart w:id="3" w:name="ksef20078123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Proxy Statement Pursuant to Section 14(a) of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0b4979ffe57e4e84beb6bc0a451098cd"/>
      <w:bookmarkStart w:id="5" w:name="z0b4979ffe57e4e84beb6bc0a451098cd"/>
      <w:bookmarkEnd w:id="5"/>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left"/>
              <w:rPr/>
            </w:pPr>
            <w:r>
              <w:rPr/>
              <w:t>Preliminary Proxy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eaf0b021f4924bae91028b9dc5f6cb77"/>
      <w:bookmarkStart w:id="7" w:name="zeaf0b021f4924bae91028b9dc5f6cb77"/>
      <w:bookmarkEnd w:id="7"/>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0"/>
              <w:jc w:val="left"/>
              <w:rPr/>
            </w:pPr>
            <w:r>
              <w:rPr/>
              <w:t>Confidential, for Use of the Commission Only (as permitted by Rule 14a-6(e)(2))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bdcea37e37194078b95fd5f993f3e46c"/>
      <w:bookmarkStart w:id="9" w:name="zbdcea37e37194078b95fd5f993f3e46c"/>
      <w:bookmarkEnd w:id="9"/>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left"/>
              <w:rPr/>
            </w:pPr>
            <w:r>
              <w:rPr/>
              <w:t>Definitive Proxy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383b976fd9f64c26ab5235f9db5a6939"/>
      <w:bookmarkStart w:id="11" w:name="z383b976fd9f64c26ab5235f9db5a6939"/>
      <w:bookmarkEnd w:id="11"/>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pPr>
            <w:r>
              <w:rPr/>
              <w:t>Definitive Additional Materials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c9ef04349aa243ef9a92e22fffbe0e5e"/>
      <w:bookmarkStart w:id="13" w:name="zc9ef04349aa243ef9a92e22fffbe0e5e"/>
      <w:bookmarkEnd w:id="13"/>
    </w:p>
    <w:tbl>
      <w:tblPr>
        <w:tblW w:w="3940" w:type="dxa"/>
        <w:jc w:val="left"/>
        <w:tblInd w:w="0" w:type="dxa"/>
        <w:tblLayout w:type="fixed"/>
        <w:tblCellMar>
          <w:top w:w="0" w:type="dxa"/>
          <w:left w:w="0" w:type="dxa"/>
          <w:bottom w:w="0" w:type="dxa"/>
          <w:right w:w="0" w:type="dxa"/>
        </w:tblCellMar>
      </w:tblPr>
      <w:tblGrid>
        <w:gridCol w:w="245"/>
        <w:gridCol w:w="3695"/>
      </w:tblGrid>
      <w:tr>
        <w:trPr/>
        <w:tc>
          <w:tcPr>
            <w:tcW w:w="245"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0"/>
              <w:jc w:val="left"/>
              <w:rPr/>
            </w:pPr>
            <w:r>
              <w:rPr/>
              <w:t>Soliciting Material under § 240.14a-12</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ATAIBECKLEY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86aa364e91974c2f90d4926a637eed87"/>
      <w:bookmarkStart w:id="15" w:name="z86aa364e91974c2f90d4926a637eed87"/>
      <w:bookmarkEnd w:id="15"/>
    </w:p>
    <w:tbl>
      <w:tblPr>
        <w:tblW w:w="1765" w:type="dxa"/>
        <w:jc w:val="left"/>
        <w:tblInd w:w="0" w:type="dxa"/>
        <w:tblLayout w:type="fixed"/>
        <w:tblCellMar>
          <w:top w:w="0" w:type="dxa"/>
          <w:left w:w="0" w:type="dxa"/>
          <w:bottom w:w="0" w:type="dxa"/>
          <w:right w:w="0" w:type="dxa"/>
        </w:tblCellMar>
      </w:tblPr>
      <w:tblGrid>
        <w:gridCol w:w="245"/>
        <w:gridCol w:w="1520"/>
      </w:tblGrid>
      <w:tr>
        <w:trPr/>
        <w:tc>
          <w:tcPr>
            <w:tcW w:w="245"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0"/>
              <w:jc w:val="left"/>
              <w:rPr/>
            </w:pPr>
            <w:r>
              <w:rPr/>
              <w:t>No fee required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60e0e39dba9d4ee993541f72f0bc7d75"/>
      <w:bookmarkStart w:id="17" w:name="z60e0e39dba9d4ee993541f72f0bc7d75"/>
      <w:bookmarkEnd w:id="17"/>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0"/>
              <w:jc w:val="left"/>
              <w:rPr/>
            </w:pPr>
            <w:r>
              <w:rPr/>
              <w:t>Fee paid previously with preliminary materials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bae9920b1a31471b83b7b239245f5120"/>
      <w:bookmarkStart w:id="19" w:name="zbae9920b1a31471b83b7b239245f5120"/>
      <w:bookmarkEnd w:id="19"/>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pPr>
            <w:r>
              <w:rPr/>
              <w:t>Fee computed on table in exhibit required by Item 25(b) per Exchange Act Rules 14a-6(i)(1) and 0-11</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1F3864"/>
          <w:sz w:val="20"/>
        </w:rPr>
      </w:pPr>
      <w:r>
        <w:rPr>
          <w:rFonts w:ascii="Times New Roman" w:hAnsi="Times New Roman"/>
          <w:b/>
          <w:color w:val="1F3864"/>
          <w:sz w:val="20"/>
        </w:rPr>
        <w:t>Key Opinion Leader Letter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Subject: An Important Update on the Future of AtaiBeckley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[Name],</w:t>
      </w:r>
    </w:p>
    <w:p>
      <w:pPr>
        <w:pStyle w:val="TextBody"/>
        <w:bidi w:val="0"/>
        <w:spacing w:before="0" w:after="0"/>
        <w:jc w:val="left"/>
        <w:rPr>
          <w:color w:val="000000"/>
        </w:rPr>
      </w:pPr>
      <w:r>
        <w:rPr>
          <w:color w:val="000000"/>
        </w:rPr>
        <w:t> </w:t>
      </w:r>
    </w:p>
    <w:p>
      <w:pPr>
        <w:pStyle w:val="TextBody"/>
        <w:bidi w:val="0"/>
        <w:spacing w:before="0" w:after="0"/>
        <w:jc w:val="left"/>
        <w:rPr/>
      </w:pPr>
      <w:r>
        <w:rPr>
          <w:rFonts w:ascii="Times New Roman" w:hAnsi="Times New Roman"/>
          <w:color w:val="000000"/>
          <w:sz w:val="20"/>
        </w:rPr>
        <w:t xml:space="preserve">Today we announced </w:t>
      </w:r>
      <w:hyperlink r:id="rId2">
        <w:r>
          <w:rPr>
            <w:rStyle w:val="InternetLink"/>
          </w:rPr>
          <w:t>(link)</w:t>
        </w:r>
      </w:hyperlink>
      <w:r>
        <w:rPr>
          <w:rFonts w:ascii="Times New Roman" w:hAnsi="Times New Roman"/>
          <w:color w:val="000000"/>
          <w:sz w:val="20"/>
        </w:rPr>
        <w:t xml:space="preserve"> that AtaiBeckley has entered into a definitive agreement to be acquired by Eli Lilly and Company (“Lilly”). This is an important transaction for our company as we advance our mission to create breakthroughs in mental health by developing rapid-acting and durable treatments for people living with serious mental health conditions.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are incredibly proud of all that we have achieved since our founding, and you have played an essential role in our success.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decisions have always been grounded in a fundamental belief: the most important thing we can do is get BPL-003 and the other therapies in our pipeline to as many patients as possible, as quickly as possible. Our commitment to that goal was the driving force behind our decision to enter into this agreement with Lilly.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you may know, Lilly is a global leader in pharmaceutical innovation. As Lilly builds the next era of brain health, combining our pipeline with its global scale, resources and experience will help us to reach more patients around the world. We are confident this is the right path forward for AtaiBeckley and the patients we seek to serve.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terms of next steps, we expect the transaction to close in the third quarter of 2026, subject to approval by AtaiBeckley stockholders and other customary closing conditions, including regulatory approvals.  Until then, AtaiBeckley will continue to operate as an independent company and it remains business as usual. There are no expected changes to how we partner with you, and our teams are as focused as ever on advancing our work to improve the lives of people living with serious mental health conditions. We are continuing to advance our clinical and development programs, and your AtaiBeckley contacts remain the same.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While formal communication will be sent to all investigators and sites shortly, I wanted to ensure you heard this news directly. I'm available today should you wish to discuss anything related to the clinical programs. If you have any questions in the meantime, please don't hesitate to reach out.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for your ongoing scientific partnership and support of AtaiBeckley.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Best regards,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[Title], AtaiBeckley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2</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No Offer or Solicitation</w:t>
      </w:r>
    </w:p>
    <w:p>
      <w:pPr>
        <w:pStyle w:val="TextBody"/>
        <w:bidi w:val="0"/>
        <w:spacing w:before="0" w:after="0"/>
        <w:jc w:val="left"/>
        <w:rPr>
          <w:b/>
          <w:u w:val="single"/>
        </w:rPr>
      </w:pPr>
      <w:r>
        <w:rPr>
          <w:b/>
          <w:u w:val="single"/>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Additional Information about the Acquisition and Where to Find It</w:t>
      </w:r>
    </w:p>
    <w:p>
      <w:pPr>
        <w:pStyle w:val="TextBody"/>
        <w:bidi w:val="0"/>
        <w:spacing w:before="0" w:after="0"/>
        <w:jc w:val="left"/>
        <w:rPr>
          <w:b/>
          <w:u w:val="single"/>
        </w:rPr>
      </w:pPr>
      <w:r>
        <w:rPr>
          <w:b/>
          <w:u w:val="single"/>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AtaiBeckley plans to file a proxy statement (the “Proxy Statement”) with the Securities and Exchange Commission (the “SEC”) in connection with the solicitation of proxies to approve the agreement and plan of merger (the “Merger Agreement”) relating to Lilly’s proposed acquisition of AtaiBeckley (the “Merger”). Promptly after filing the definitive Proxy Statement with the SEC, AtaiBeckley will mail the definitive Proxy Statement and a proxy card to each stockholder entitled to vote at the special meeting to consider the adoption of the Merger Agreement. Stockholders are urged to read the proxy statement (including any amendments or supplements thereto) and any other relevant documents that AtaiBeckley will file with the SEC when they become available because they will contain important information. Stockholders may obtain, free of charge, the preliminary and definitive versions of the Proxy Statement, any amendments or supplements thereto, and any other relevant documents filed by AtaiBeckley with the SEC in connection with the Merger at the SEC’s website (http://www.sec.gov). Copies of AtaiBeckley’s definitive Proxy Statement, any amendments or supplements thereto, and any other relevant documents filed by AtaiBeckley with the SEC in connection with the Merger will also be available, free of charge, at AtaiBeckley’s investor relations website (https://ir.ataibeckley.com), or by writing to AtaiBeckley Inc., Attention: Investor Relations, 250 West 34th Street, New York, NY 10119.</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Participants in the Solicitation</w:t>
      </w:r>
    </w:p>
    <w:p>
      <w:pPr>
        <w:pStyle w:val="TextBody"/>
        <w:bidi w:val="0"/>
        <w:spacing w:before="0" w:after="0"/>
        <w:jc w:val="left"/>
        <w:rPr>
          <w:b/>
          <w:u w:val="single"/>
        </w:rPr>
      </w:pPr>
      <w:r>
        <w:rPr>
          <w:b/>
          <w:u w:val="single"/>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SEC rules, AtaiBeckley and certain of its directors, executive officers and other members of management and employees may be deemed to be participants in the solicitation of proxies from stockholders in connection with the Merger. Information about the directors and executive officers of AtaiBeckley and their ownership of AtaiBeckley’s common stock is set forth in the definitive proxy statement for AtaiBeckley’s 2026 Annual Meeting of Stockholders (the “2026 Proxy Statement”), which was filed with the SEC on April 22, 2026, including the sections captioned “Director Compensation,” “Executive Employment Agreements” and “Security Ownership of Certain Beneficial Owners and Management,” or its Annual Report on Form 10-K for the year ended December 31, 2025, which was filed with the SEC on March 6, 2026, and in other documents filed by AtaiBeckley with the SEC. To the extent holdings of such participants in AtaiBeckley’s securities have changed since the amounts described in the 2026 Proxy Statement, such changes have been reflected on Forms 3 or Forms 4 filed with the SEC by AtaiBeckley’s directors and executive officers. These documents can be obtained free of charge from the sources indicated below. Additional information regarding the participants in the proxy solicitation and a description of their direct and indirect interests, by security holdings or otherwise, will be contained in the Proxy Statement and other relevant materials to be filed with the SEC in respect of the Merger when they become available.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Cautionary Statement Regarding Forward-Looking Statements</w:t>
      </w:r>
    </w:p>
    <w:p>
      <w:pPr>
        <w:pStyle w:val="TextBody"/>
        <w:bidi w:val="0"/>
        <w:spacing w:before="0" w:after="0"/>
        <w:jc w:val="left"/>
        <w:rPr>
          <w:b/>
          <w:u w:val="single"/>
        </w:rPr>
      </w:pPr>
      <w:r>
        <w:rPr>
          <w:b/>
          <w:u w:val="single"/>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that involve substantial risks and uncertainties, including statements regarding: the Merger; the prospective benefits of the Merger; the parties’ ability to satisfy the conditions to the consummation of the Merger and the expected timetable for the Merger; the anticipated occurrence, manner and timing of the closing of the Merger; potential milestone payment amounts and terms pursuant to the contingent value rights (the “CVRs”); AtaiBeckley’s product candidates and ongoing clinical and preclinical development; Lilly’s development of programs targeting treatment-resistant depression and mental health conditions; and the accounting treatment of the potential acquisition under GAAP and its potential impact on Lilly’s financial results and financial guidance. All statements other than statements of historical facts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current beliefs and expectations, and are subject to a number of risks and uncertainties that could cause actual results to differ materially and adversely from those set forth in, or implied by, such forward-looking statements. These risks and uncertainties include, but are not limited to: the possibility that AtaiBeckley’s shareholders may not approve the adoption of the Merger Agreement; AtaiBeckley’s receipt of any competing offers or acquisition proposals; a failure to (or delay in) receiving the required regulatory clearances for the Merger; a condition to closing of the Merger may not be satisfied (or waived); the ability of each party to consummate the Merger; the closing of the Merger might be delayed or not occur at all; the diversion of management time and attention from ongoing business operations and opportunities; the response of competitors to the Merger; the effect of the Merger and the public announcement of the Merger on AtaiBeckley’s operations and its relationships with its suppliers, business partners, management and employees, including its ability to attract and retain key personnel; Lilly’s ability to successfully integrate AtaiBeckley and execute on the continued development of AtaiBeckley’s programs following the closing of the Merger; that all or any of the potential milestone payments pursuant to the CVRs will become payable on the terms described herein or at all; the outcome of any legal proceedings that could be instituted against the parties to the Merger; the risks inherent in drug research, development and commercialization; disruption in AtaiBeckley’s plans and operations attributable to the Merger; changes in AtaiBeckley’s business during the period between announcement and closing of the Merger; Lilly’s evaluation of the accounting treatment of the potential acquisition and its potential impact on its financial results and financial guidance; the effects of the Merger (or the announcement thereof) on AtaiBeckley’s stock price; relationships with key third parties or governmental entities; regulatory changes and developments; and the impact of global macroeconomic conditions, including trade and other global disputes and interruptions, including related to tariffs, trade protection measures, and similar restrictions. For further discussion of these and other risks and uncertainties, see Lilly’s and AtaiBeckley’s periodic reports filed with the SEC. There can be no assurance that the Merger will in fact be consummated. All forward-looking statements in this communication are based on information available to Lilly and AtaiBeckley as of the date of this communication. Lilly and AtaiBeckley each expressly disclaim any obligation to publicly update or revise the forward-looking statements, except as required by 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4</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81043/000114036126028604/ef20078103_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1644</Words>
  <Characters>9326</Characters>
  <CharactersWithSpaces>10929</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