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30,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333-290592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S-3 REGISTRATION STATEMENT NO. 333-290592</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Atai Beckley N.V.</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 or organization)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(I.R.S. Employer Identification Number)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Prof. J.H. Bavincklaan 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1183 AT Amstelveen</w:t>
      </w:r>
    </w:p>
    <w:p>
      <w:pPr>
        <w:spacing w:after="0" w:line="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9"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+31 20 793 2536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atai Life Sciences US,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Industrious NYC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250 West 34th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10119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(332) 282-0507</w:t>
      </w:r>
    </w:p>
    <w:p>
      <w:pPr>
        <w:spacing w:after="0" w:line="9"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Not applicable.</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5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5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Accelerated filer</w:t>
            </w:r>
          </w:p>
        </w:tc>
        <w:tc>
          <w:tcPr>
            <w:tcW w:w="4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5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3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Emerging growth company</w:t>
            </w:r>
          </w:p>
        </w:tc>
        <w:tc>
          <w:tcPr>
            <w:tcW w:w="4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81"/>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w:t>
            </w:r>
          </w:p>
        </w:tc>
        <w:tc>
          <w:tcPr>
            <w:tcW w:w="40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2"/>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or revised financial accounting standards provided pursuant to Section 7(a)(2)(B) of Securities Act.</w:t>
            </w:r>
          </w:p>
        </w:tc>
        <w:tc>
          <w:tcPr>
            <w:tcW w:w="4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0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0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5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0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spacing w:after="0"/>
              <w:rPr>
                <w:sz w:val="15"/>
                <w:szCs w:val="15"/>
                <w:color w:val="auto"/>
              </w:rPr>
            </w:pPr>
          </w:p>
        </w:tc>
        <w:tc>
          <w:tcPr>
            <w:tcW w:w="57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42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30, 2025, Atai Beckley N.V. (f/k/a atai Life Sciences N.V.), a Dutch public company (“atai Netherlands”) merged with and into atai Life Sciences Luxembourg S.A., a Luxembourg public limited liability company (société anonyme) (“atai LuxCo”). On December 30, 2025, atai LuxCo then consummated the conversion of atai LuxCo into a corporation incorporated under the laws of the State of Delaware, after which, atai LuxCo will continue as an entity under the name “AtaiBeckley Inc.” (the “Company” or the “Registrant”) (such transactions, the “Redomiciliation Transaction”).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UNSOLD SECURITIES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Post-Effective Amendment, filed by AtaiBeckley Inc., relates to the following Registration Statement on Form S-3 (the “Registration Statement”), previously filed with the Securities and Exchange Commission (the “SEC”) by the Registrant:</w:t>
      </w:r>
    </w:p>
    <w:p>
      <w:pPr>
        <w:spacing w:after="0" w:line="162"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333-290592, filed with the SEC on September 29, 2025, providing for the offer and sale, from time to time, in one or more offerings and series, together or separately, of: (i) common shares, (ii) debt securities, (iii) warrants and (iv) units of atai Netherlands.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Redomiciliation Transaction, the Registrant has terminated all offerings of its securities pursuant to existing registration statements, including the Registration Statement. In accordance with an undertaking made by the Registrant in the Registration Statement to remove from registration, by means of a post-effective amendment, any of the securities registered under the Registration Statement that remain unsold at the termination of the offering, the Registrant hereby removes from registration all of the securities registered under the Registration Statement that remain unsold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to be signed on its behalf by the undersigned, thereunto duly authorized, in Encinitas, California, on the 30th day of December, 2025.</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ATAIBECKLEY INC. (as successor to Atai Beckley N.V.)</w:t>
      </w:r>
    </w:p>
    <w:p>
      <w:pPr>
        <w:spacing w:after="0" w:line="225"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Srinivas Rao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64890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89065" cy="17145"/>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Srinivas Rao</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No other person is required to sign this Post-Effective Amendment in reliance upon Rule 478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2025-12-31T05:08:21Z</dcterms:created>
  <dcterms:modified xsi:type="dcterms:W3CDTF">2025-12-31T05:08:21Z</dcterms:modified>
</cp:coreProperties>
</file>