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462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46227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Craig Kevin James</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AtaiBeckley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ATAI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tcBorders>
              <w:top w:val="single" w:sz="8" w:color="0000EE"/>
            </w:tcBorders>
          </w:tcPr>
          <w:p>
            <w:pPr>
              <w:spacing w:after="0"/>
              <w:rPr>
                <w:sz w:val="4"/>
                <w:szCs w:val="4"/>
                <w:color w:val="auto"/>
              </w:rPr>
            </w:pPr>
          </w:p>
        </w:tc>
        <w:tc>
          <w:tcPr>
            <w:tcW w:w="2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ATAI LIFE SCIENCES US, INC.</w:t>
            </w: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03/20/2026</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INDUSTRIOUS NYC, 250 WEST 34TH ST.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95"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7"/>
          </w:tcPr>
          <w:p>
            <w:pPr>
              <w:jc w:val="center"/>
              <w:ind w:right="29"/>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10119</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720" w:type="dxa"/>
            <w:vAlign w:val="bottom"/>
            <w:gridSpan w:val="7"/>
          </w:tcPr>
          <w:p>
            <w:pPr>
              <w:ind w:left="60"/>
              <w:spacing w:after="0" w:line="128" w:lineRule="exact"/>
              <w:rPr>
                <w:sz w:val="20"/>
                <w:szCs w:val="20"/>
                <w:color w:val="auto"/>
              </w:rPr>
            </w:pPr>
            <w:r>
              <w:rPr>
                <w:rFonts w:ascii="Arial" w:cs="Arial" w:eastAsia="Arial" w:hAnsi="Arial"/>
                <w:sz w:val="12"/>
                <w:szCs w:val="12"/>
                <w:b w:val="1"/>
                <w:bCs w:val="1"/>
                <w:color w:val="auto"/>
                <w:w w:val="99"/>
              </w:rPr>
              <w:t>Transaction  Disposed Of (D) (Instr. 3, 4 and 5)</w:t>
            </w: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60" w:type="dxa"/>
            <w:vAlign w:val="bottom"/>
          </w:tcPr>
          <w:p>
            <w:pPr>
              <w:jc w:val="right"/>
              <w:ind w:right="9"/>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jc w:val="right"/>
              <w:ind w:right="149"/>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rPr>
              <w:t>03/20/2026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172"/>
              <w:spacing w:after="0"/>
              <w:rPr>
                <w:sz w:val="20"/>
                <w:szCs w:val="20"/>
                <w:color w:val="auto"/>
              </w:rPr>
            </w:pPr>
            <w:r>
              <w:rPr>
                <w:rFonts w:ascii="Times New Roman" w:cs="Times New Roman" w:eastAsia="Times New Roman" w:hAnsi="Times New Roman"/>
                <w:sz w:val="17"/>
                <w:szCs w:val="17"/>
                <w:color w:val="0000FF"/>
              </w:rPr>
              <w:t>76,224</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ind w:right="69"/>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jc w:val="center"/>
              <w:ind w:left="7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1.18</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84,661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rPr>
              <w:t>03/20/2026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172"/>
              <w:spacing w:after="0"/>
              <w:rPr>
                <w:sz w:val="20"/>
                <w:szCs w:val="20"/>
                <w:color w:val="auto"/>
              </w:rPr>
            </w:pPr>
            <w:r>
              <w:rPr>
                <w:rFonts w:ascii="Times New Roman" w:cs="Times New Roman" w:eastAsia="Times New Roman" w:hAnsi="Times New Roman"/>
                <w:sz w:val="17"/>
                <w:szCs w:val="17"/>
                <w:color w:val="0000FF"/>
              </w:rPr>
              <w:t>23,776</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ind w:right="69"/>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131"/>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1.5</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108,437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rPr>
              <w:t>03/20/2026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24"/>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gridSpan w:val="2"/>
          </w:tcPr>
          <w:p>
            <w:pPr>
              <w:jc w:val="center"/>
              <w:ind w:left="112"/>
              <w:spacing w:after="0"/>
              <w:rPr>
                <w:sz w:val="20"/>
                <w:szCs w:val="20"/>
                <w:color w:val="auto"/>
              </w:rPr>
            </w:pPr>
            <w:r>
              <w:rPr>
                <w:rFonts w:ascii="Times New Roman" w:cs="Times New Roman" w:eastAsia="Times New Roman" w:hAnsi="Times New Roman"/>
                <w:sz w:val="17"/>
                <w:szCs w:val="17"/>
                <w:color w:val="0000FF"/>
              </w:rPr>
              <w:t>100,000</w:t>
            </w:r>
          </w:p>
        </w:tc>
        <w:tc>
          <w:tcPr>
            <w:tcW w:w="560" w:type="dxa"/>
            <w:vAlign w:val="bottom"/>
            <w:tcBorders>
              <w:bottom w:val="single" w:sz="8" w:color="2C2C2C"/>
            </w:tcBorders>
          </w:tcPr>
          <w:p>
            <w:pPr>
              <w:jc w:val="right"/>
              <w:ind w:right="69"/>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3.55</w:t>
            </w:r>
            <w:r>
              <w:rPr>
                <w:rFonts w:ascii="Times New Roman" w:cs="Times New Roman" w:eastAsia="Times New Roman" w:hAnsi="Times New Roman"/>
                <w:sz w:val="21"/>
                <w:szCs w:val="21"/>
                <w:color w:val="008000"/>
                <w:w w:val="93"/>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8,437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6"/>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6"/>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jc w:val="center"/>
              <w:ind w:right="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1.18</w:t>
            </w:r>
          </w:p>
        </w:tc>
        <w:tc>
          <w:tcPr>
            <w:tcW w:w="140" w:type="dxa"/>
            <w:vAlign w:val="bottom"/>
          </w:tcPr>
          <w:p>
            <w:pPr>
              <w:spacing w:after="0"/>
              <w:rPr>
                <w:sz w:val="20"/>
                <w:szCs w:val="20"/>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03/20/2026</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76,224</w:t>
            </w:r>
          </w:p>
        </w:tc>
        <w:tc>
          <w:tcPr>
            <w:tcW w:w="820" w:type="dxa"/>
            <w:vAlign w:val="bottom"/>
            <w:gridSpan w:val="2"/>
          </w:tcPr>
          <w:p>
            <w:pPr>
              <w:jc w:val="right"/>
              <w:ind w:right="344"/>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20"/>
                <w:szCs w:val="20"/>
                <w:color w:val="auto"/>
              </w:rPr>
            </w:pPr>
            <w:r>
              <w:rPr>
                <w:rFonts w:ascii="Times New Roman" w:cs="Times New Roman" w:eastAsia="Times New Roman" w:hAnsi="Times New Roman"/>
                <w:sz w:val="13"/>
                <w:szCs w:val="13"/>
                <w:color w:val="0000FF"/>
              </w:rPr>
              <w:t>03/14/2033</w:t>
            </w: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76,224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38,136</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jc w:val="right"/>
              <w:ind w:right="149"/>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jc w:val="center"/>
              <w:ind w:right="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w:t>
            </w:r>
          </w:p>
        </w:tc>
        <w:tc>
          <w:tcPr>
            <w:tcW w:w="140" w:type="dxa"/>
            <w:vAlign w:val="bottom"/>
          </w:tcPr>
          <w:p>
            <w:pPr>
              <w:spacing w:after="0"/>
              <w:rPr>
                <w:sz w:val="20"/>
                <w:szCs w:val="20"/>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03/20/2026</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23,776</w:t>
            </w:r>
          </w:p>
        </w:tc>
        <w:tc>
          <w:tcPr>
            <w:tcW w:w="820" w:type="dxa"/>
            <w:vAlign w:val="bottom"/>
            <w:gridSpan w:val="2"/>
          </w:tcPr>
          <w:p>
            <w:pPr>
              <w:jc w:val="right"/>
              <w:ind w:right="344"/>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spacing w:after="0"/>
              <w:rPr>
                <w:sz w:val="20"/>
                <w:szCs w:val="20"/>
                <w:color w:val="auto"/>
              </w:rPr>
            </w:pPr>
            <w:r>
              <w:rPr>
                <w:rFonts w:ascii="Times New Roman" w:cs="Times New Roman" w:eastAsia="Times New Roman" w:hAnsi="Times New Roman"/>
                <w:sz w:val="13"/>
                <w:szCs w:val="13"/>
                <w:color w:val="0000FF"/>
              </w:rPr>
              <w:t>03/03/2035</w:t>
            </w: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23,776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right"/>
              <w:ind w:right="202"/>
              <w:spacing w:after="0"/>
              <w:rPr>
                <w:sz w:val="20"/>
                <w:szCs w:val="20"/>
                <w:color w:val="auto"/>
              </w:rPr>
            </w:pPr>
            <w:r>
              <w:rPr>
                <w:rFonts w:ascii="Times New Roman" w:cs="Times New Roman" w:eastAsia="Times New Roman" w:hAnsi="Times New Roman"/>
                <w:sz w:val="13"/>
                <w:szCs w:val="13"/>
                <w:color w:val="0000FF"/>
              </w:rPr>
              <w:t>734,139</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jc w:val="right"/>
              <w:ind w:right="149"/>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-2181860</wp:posOffset>
            </wp:positionV>
            <wp:extent cx="29210" cy="2186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8694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exercises and sale reported in this Form 4 were effected pursuant to a Rule 10b5-1 trading plan adopted by the Reporting Person on December 19, 2025.</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vested as to 25% of the underlying shares on March 14, 2024, with the remaining underlying shares vesting in 36 substantially equal monthly installments thereafter.</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vested as to 25% of the underlying shares on January 1, 2026, with the remaining shares vesting in 36 substantially equal monthly installments thereafter.</w:t>
      </w:r>
    </w:p>
    <w:p>
      <w:pPr>
        <w:spacing w:after="0" w:line="43" w:lineRule="exact"/>
        <w:rPr>
          <w:rFonts w:ascii="Times New Roman" w:cs="Times New Roman" w:eastAsia="Times New Roman" w:hAnsi="Times New Roman"/>
          <w:sz w:val="13"/>
          <w:szCs w:val="13"/>
          <w:color w:val="008000"/>
        </w:rPr>
      </w:pPr>
    </w:p>
    <w:p>
      <w:pPr>
        <w:ind w:left="40" w:right="2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securities were sold in multiple transactions at per share prices ranging from $3.52 to $3.60. The Reporting Person undertakes to provide to the Issuer, any security holder of the Issuer, or the staff of the Securities and Exchange Commission, upon request, full information regarding the number of shares sold at each separate price.</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Ryan Barrett, as attorney 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03/24/2026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9601" TargetMode="External"/><Relationship Id="rId14" Type="http://schemas.openxmlformats.org/officeDocument/2006/relationships/hyperlink" Target="http://www.sec.gov/cgi-bin/browse-edgar?action=getcompany&amp;CIK=00020810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2026-03-24T17:02:29Z</dcterms:created>
  <dcterms:modified xsi:type="dcterms:W3CDTF">2026-03-24T17:02:29Z</dcterms:modified>
</cp:coreProperties>
</file>