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8124_defa14a.htm"/>
      <w:bookmarkStart w:id="1" w:name="ksef20078124_defa14a"/>
      <w:bookmarkStart w:id="2" w:name="ef20078124_defa14a.htm"/>
      <w:bookmarkStart w:id="3" w:name="ksef20078124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Proxy Statement Pursuant to Section 14(a) of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35a9afe6e5cc49cf84db9e34ef68c600"/>
      <w:bookmarkStart w:id="5" w:name="z35a9afe6e5cc49cf84db9e34ef68c600"/>
      <w:bookmarkEnd w:id="5"/>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0"/>
              <w:jc w:val="left"/>
              <w:rPr/>
            </w:pPr>
            <w:r>
              <w:rPr/>
              <w:t>Preliminary Proxy Statement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89ad07b4b555466c903b3eeda0528f9a"/>
      <w:bookmarkStart w:id="7" w:name="z89ad07b4b555466c903b3eeda0528f9a"/>
      <w:bookmarkEnd w:id="7"/>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0"/>
              <w:jc w:val="left"/>
              <w:rPr/>
            </w:pPr>
            <w:r>
              <w:rPr/>
              <w:t>Confidential, for Use of the Commission Only (as permitted by Rule 14a-6(e)(2))</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4b28450b4a3a445888134f6472a31a03"/>
      <w:bookmarkStart w:id="9" w:name="z4b28450b4a3a445888134f6472a31a03"/>
      <w:bookmarkEnd w:id="9"/>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left"/>
              <w:rPr/>
            </w:pPr>
            <w:r>
              <w:rPr/>
              <w:t>Definitive Proxy Statement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13707af213c04c75a5fa73b0f4bf0534"/>
      <w:bookmarkStart w:id="11" w:name="z13707af213c04c75a5fa73b0f4bf0534"/>
      <w:bookmarkEnd w:id="11"/>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left"/>
              <w:rPr/>
            </w:pPr>
            <w:r>
              <w:rPr/>
              <w:t>Definitive Additional Materials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dc81cfb6efa743f9960f3fd7cd475e18"/>
      <w:bookmarkStart w:id="13" w:name="zdc81cfb6efa743f9960f3fd7cd475e18"/>
      <w:bookmarkEnd w:id="13"/>
    </w:p>
    <w:tbl>
      <w:tblPr>
        <w:tblW w:w="3940" w:type="dxa"/>
        <w:jc w:val="left"/>
        <w:tblInd w:w="0" w:type="dxa"/>
        <w:tblLayout w:type="fixed"/>
        <w:tblCellMar>
          <w:top w:w="0" w:type="dxa"/>
          <w:left w:w="0" w:type="dxa"/>
          <w:bottom w:w="0" w:type="dxa"/>
          <w:right w:w="0" w:type="dxa"/>
        </w:tblCellMar>
      </w:tblPr>
      <w:tblGrid>
        <w:gridCol w:w="245"/>
        <w:gridCol w:w="3695"/>
      </w:tblGrid>
      <w:tr>
        <w:trPr/>
        <w:tc>
          <w:tcPr>
            <w:tcW w:w="245"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0"/>
              <w:jc w:val="left"/>
              <w:rPr/>
            </w:pPr>
            <w:r>
              <w:rPr/>
              <w:t>Soliciting Material under § 240.14a-12</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ATAIBECKLEY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ab1a01f8785b4b279c717163e66bfdd2"/>
      <w:bookmarkStart w:id="15" w:name="zab1a01f8785b4b279c717163e66bfdd2"/>
      <w:bookmarkEnd w:id="15"/>
    </w:p>
    <w:tbl>
      <w:tblPr>
        <w:tblW w:w="1765" w:type="dxa"/>
        <w:jc w:val="left"/>
        <w:tblInd w:w="0" w:type="dxa"/>
        <w:tblLayout w:type="fixed"/>
        <w:tblCellMar>
          <w:top w:w="0" w:type="dxa"/>
          <w:left w:w="0" w:type="dxa"/>
          <w:bottom w:w="0" w:type="dxa"/>
          <w:right w:w="0" w:type="dxa"/>
        </w:tblCellMar>
      </w:tblPr>
      <w:tblGrid>
        <w:gridCol w:w="245"/>
        <w:gridCol w:w="1520"/>
      </w:tblGrid>
      <w:tr>
        <w:trPr/>
        <w:tc>
          <w:tcPr>
            <w:tcW w:w="245"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0"/>
              <w:jc w:val="left"/>
              <w:rPr/>
            </w:pPr>
            <w:r>
              <w:rPr/>
              <w:t>No fee required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2988290b3c7943cd880438a3d6e6eeb6"/>
      <w:bookmarkStart w:id="17" w:name="z2988290b3c7943cd880438a3d6e6eeb6"/>
      <w:bookmarkEnd w:id="17"/>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0"/>
              <w:jc w:val="left"/>
              <w:rPr/>
            </w:pPr>
            <w:r>
              <w:rPr/>
              <w:t>Fee paid previously with preliminary materials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ce44e28fc2a541ef9a7e6764a47538a6"/>
      <w:bookmarkStart w:id="19" w:name="zce44e28fc2a541ef9a7e6764a47538a6"/>
      <w:bookmarkEnd w:id="19"/>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pPr>
            <w:r>
              <w:rPr/>
              <w:t>Fee computed on table in exhibit required by Item 25(b) per Exchange Act Rules 14a-6(i)(1) and 0-11</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1F3864"/>
          <w:sz w:val="20"/>
        </w:rPr>
      </w:pPr>
      <w:r>
        <w:rPr>
          <w:rFonts w:ascii="Times New Roman" w:hAnsi="Times New Roman"/>
          <w:b/>
          <w:color w:val="1F3864"/>
          <w:sz w:val="20"/>
        </w:rPr>
        <w:t>Investigators and Site Staff Letter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Date: July 16,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Subject: An Important Update on the Future of AtaiBeckley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Investigators and Site Staff,</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Today we are pleased to share that AtaiBeckley has entered into a definitive agreement to be acquired by Eli Lilly and Company (“Lilly”). This is an important transaction for our company as we work to advance our vision to create breakthroughs in mental health through transformative interventional psychiatry therapies.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are incredibly proud of all that we have achieved, and your commitment to advancing our clinical programs has played an essential role in our success. Our decisions have always been grounded in a fundamental belief: the most important thing we can do is get our therapies to as many patients as possible, as quickly as possible. Our commitment to that goal was the driving force behind our decision to combine with Lilly.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Lilly is a global leader in pharmaceutical innovation. As Lilly builds the next era of brain health, combining our pipeline with its global scale, resources and experience will help us to reach more patients around the world.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What does this mean for our studies?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68478a933dac491388020401b455b7ae"/>
      <w:bookmarkStart w:id="21" w:name="z68478a933dac491388020401b455b7ae"/>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Business as usual: </w:t>
            </w:r>
            <w:r>
              <w:rPr/>
              <w:t>All AtaiBeckley clinical studies will continue as planned. We do not expect any disruption to your site operations, patient care, or study timelines as a result of the proposed transaction. Our clinical team and research associates remain your primary point of contact for any study-related matters.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6c45a5ef92b84daa8fde143f26fd128e"/>
      <w:bookmarkStart w:id="23" w:name="z6c45a5ef92b84daa8fde143f26fd128e"/>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Accelerated patient impact: </w:t>
            </w:r>
            <w:r>
              <w:rPr/>
              <w:t>With Lilly’s resources and global infrastructure, we believe we are well positioned to advance our programs to approval and patient access.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35147d30e56843c9b06dd10e62b92396"/>
      <w:bookmarkStart w:id="25" w:name="z35147d30e56843c9b06dd10e62b92396"/>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Continued partnership: </w:t>
            </w:r>
            <w:r>
              <w:rPr/>
              <w:t>We deeply value your collaboration and expertise. As integration planning progresses, any changes to processes, contacts, or systems will be communicated in a timely manner.</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appreciate your dedication as we enter this exciting new chapter. We look forward to continuing our collaboration. If you have any questions, please reach out to your AtaiBeckley clinical contact or reply to this message.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Kind regards,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AtaiBeckley Clinical Team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No Offer or Solicitation</w:t>
      </w:r>
    </w:p>
    <w:p>
      <w:pPr>
        <w:pStyle w:val="TextBody"/>
        <w:bidi w:val="0"/>
        <w:spacing w:before="0" w:after="0"/>
        <w:jc w:val="left"/>
        <w:rPr>
          <w:b/>
          <w:u w:val="single"/>
        </w:rPr>
      </w:pPr>
      <w:r>
        <w:rPr>
          <w:b/>
          <w:u w:val="single"/>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2</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Additional Information about the Acquisition and Where to Find It</w:t>
      </w:r>
    </w:p>
    <w:p>
      <w:pPr>
        <w:pStyle w:val="TextBody"/>
        <w:bidi w:val="0"/>
        <w:spacing w:before="0" w:after="0"/>
        <w:jc w:val="left"/>
        <w:rPr>
          <w:b/>
          <w:u w:val="single"/>
        </w:rPr>
      </w:pPr>
      <w:r>
        <w:rPr>
          <w:b/>
          <w:u w:val="single"/>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AtaiBeckley plans to file a proxy statement (the “Proxy Statement”) with the Securities and Exchange Commission (the “SEC”) in connection with the solicitation of proxies to approve the agreement and plan of merger (the “Merger Agreement”) relating to Lilly’s proposed acquisition of AtaiBeckley (the “Merger”). Promptly after filing the definitive Proxy Statement with the SEC, AtaiBeckley will mail the definitive Proxy Statement and a proxy card to each stockholder entitled to vote at the special meeting to consider the adoption of the Merger Agreement. Stockholders are urged to read the proxy statement (including any amendments or supplements thereto) and any other relevant documents that AtaiBeckley will file with the SEC when they become available because they will contain important information. Stockholders may obtain, free of charge, the preliminary and definitive versions of the Proxy Statement, any amendments or supplements thereto, and any other relevant documents filed by AtaiBeckley with the SEC in connection with the Merger at the SEC’s website (http://www.sec.gov). Copies of AtaiBeckley’s definitive Proxy Statement, any amendments or supplements thereto, and any other relevant documents filed by AtaiBeckley with the SEC in connection with the Merger will also be available, free of charge, at AtaiBeckley’s investor relations website (https://ir.ataibeckley.com), or by writing to AtaiBeckley Inc., Attention: Investor Relations, 250 West 34th Street, New York, NY 10119.</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Participants in the Solicitation</w:t>
      </w:r>
    </w:p>
    <w:p>
      <w:pPr>
        <w:pStyle w:val="TextBody"/>
        <w:bidi w:val="0"/>
        <w:spacing w:before="0" w:after="0"/>
        <w:jc w:val="left"/>
        <w:rPr>
          <w:b/>
          <w:u w:val="single"/>
        </w:rPr>
      </w:pPr>
      <w:r>
        <w:rPr>
          <w:b/>
          <w:u w:val="single"/>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SEC rules, AtaiBeckley and certain of its directors, executive officers and other members of management and employees may be deemed to be participants in the solicitation of proxies from stockholders in connection with the Merger. Information about the directors and executive officers of AtaiBeckley and their ownership of AtaiBeckley’s common stock is set forth in the definitive proxy statement for AtaiBeckley’s 2026 Annual Meeting of Stockholders (the “2026 Proxy Statement”), which was filed with the SEC on April 22, 2026, including the sections captioned “Director Compensation,” “Executive Employment Agreements” and “Security Ownership of Certain Beneficial Owners and Management,” or its Annual Report on Form 10-K for the year ended December 31, 2025, which was filed with the SEC on March 6, 2026, and in other documents filed by AtaiBeckley with the SEC. To the extent holdings of such participants in AtaiBeckley’s securities have changed since the amounts described in the 2026 Proxy Statement, such changes have been reflected on Forms 3 or Forms 4 filed with the SEC by AtaiBeckley’s directors and executive officers. These documents can be obtained free of charge from the sources indicated below. Additional information regarding the participants in the proxy solicitation and a description of their direct and indirect interests, by security holdings or otherwise, will be contained in the Proxy Statement and other relevant materials to be filed with the SEC in respect of the Merger when they become available.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Cautionary Statement Regarding Forward-Looking Statements</w:t>
      </w:r>
    </w:p>
    <w:p>
      <w:pPr>
        <w:pStyle w:val="TextBody"/>
        <w:bidi w:val="0"/>
        <w:spacing w:before="0" w:after="0"/>
        <w:jc w:val="left"/>
        <w:rPr>
          <w:b/>
          <w:u w:val="single"/>
        </w:rPr>
      </w:pPr>
      <w:r>
        <w:rPr>
          <w:b/>
          <w:u w:val="single"/>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contains forward-looking statements that involve substantial risks and uncertainties, including statements regarding: the Merger; the prospective benefits of the Merger; the parties’ ability to satisfy the conditions to the consummation of the Merger and the expected timetable for the Merger; the anticipated occurrence, manner and timing of the closing of the Merger; potential milestone payment amounts and terms pursuant to the contingent value rights (the “CVRs”); AtaiBeckley’s product candidates and ongoing clinical and preclinical development; Lilly’s development of programs targeting treatment-resistant depression and mental health conditions; and the accounting treatment of the potential acquisition under GAAP and its potential impact on Lilly’s financial results and financial guidance. All statements other than statements of historical facts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current beliefs and expectations, and are subject to a number of risks and uncertainties that could cause actual results to differ materially and adversely from those set forth in, or implied by, such forward-looking statements. These risks and uncertainties include, but are not limited to: the possibility that AtaiBeckley’s shareholders may not approve the adoption of the Merger Agreement; AtaiBeckley’s receipt of any competing offers or acquisition proposals; a failure to (or delay in) receiving the required regulatory clearances for the Merger; a condition to closing of the Merger may not be satisfied (or waived); the ability of each party to consummate the Merger; the closing of the Merger might be delayed or not occur at all; the diversion of management time and attention from ongoing business operations and opportunities; the response of competitors to the Merger; the effect of the Merger and the public announcement of the Merger on AtaiBeckley’s operations and its relationships with its suppliers, business partners, management and employees, including its ability to attract and retain key personnel; Lilly’s ability to successfully integrate AtaiBeckley and execute on the continued development of AtaiBeckley’s programs following the closing of the Merger; that all or any of the potential milestone payments pursuant to the CVRs will become payable on the terms described herein or at all; the outcome of any legal proceedings that could be instituted against the parties to the Merger; the risks inherent in drug research, development and commercialization; disruption in AtaiBeckley’s plans and operations attributable to the Merger; changes in AtaiBeckley’s business during the period between announcement and closing of the Merger; Lilly’s evaluation of the accounting treatment of the potential acquisition and its potential impact on its financial results and financial guidance; the effects of the Merger (or the announcement thereof) on AtaiBeckley’s stock price; relationships with key third parties or governmental entities; regulatory changes and developments; and the impact of global macroeconomic conditions, including trade and other global disputes and interruptions, including related to tariffs, trade protection measures, and similar restrictions. For further discussion of these and other risks and uncertainties, see Lilly’s and AtaiBeckley’s periodic reports filed with the SEC. There can be no assurance that the Merger will in fact be consummated. All forward-looking statements in this communication are based on information available to Lilly and AtaiBeckley as of the date of this communication. Lilly and AtaiBeckley each expressly disclaim any obligation to publicly update or revise the forward-looking statements, except as required by law.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4</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1606</Words>
  <Characters>9190</Characters>
  <CharactersWithSpaces>10751</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