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4443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443730"/>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Rao Srinivas</w:t>
              </w:r>
            </w:hyperlink>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6"/>
          </w:tcPr>
          <w:p>
            <w:pPr>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AtaiBeckley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ATAI</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460" w:type="dxa"/>
            <w:vAlign w:val="bottom"/>
            <w:tcBorders>
              <w:top w:val="single" w:sz="8" w:color="EEEEEE"/>
            </w:tcBorders>
          </w:tcPr>
          <w:p>
            <w:pPr>
              <w:spacing w:after="0"/>
              <w:rPr>
                <w:sz w:val="12"/>
                <w:szCs w:val="12"/>
                <w:color w:val="auto"/>
              </w:rPr>
            </w:pPr>
          </w:p>
        </w:tc>
        <w:tc>
          <w:tcPr>
            <w:tcW w:w="180" w:type="dxa"/>
            <w:vAlign w:val="bottom"/>
            <w:tcBorders>
              <w:top w:val="single" w:sz="8" w:color="EEEEEE"/>
            </w:tcBorders>
          </w:tcPr>
          <w:p>
            <w:pPr>
              <w:spacing w:after="0"/>
              <w:rPr>
                <w:sz w:val="12"/>
                <w:szCs w:val="12"/>
                <w:color w:val="auto"/>
              </w:rPr>
            </w:pPr>
          </w:p>
        </w:tc>
        <w:tc>
          <w:tcPr>
            <w:tcW w:w="11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Borders>
              <w:top w:val="single" w:sz="8" w:color="EEEEEE"/>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200"/>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gridSpan w:val="3"/>
            <w:vMerge w:val="restart"/>
          </w:tcPr>
          <w:p>
            <w:pPr>
              <w:ind w:left="120"/>
              <w:spacing w:after="0" w:line="180" w:lineRule="exact"/>
              <w:rPr>
                <w:sz w:val="20"/>
                <w:szCs w:val="20"/>
                <w:color w:val="auto"/>
              </w:rPr>
            </w:pPr>
            <w:r>
              <w:rPr>
                <w:rFonts w:ascii="Times New Roman" w:cs="Times New Roman" w:eastAsia="Times New Roman" w:hAnsi="Times New Roman"/>
                <w:sz w:val="16"/>
                <w:szCs w:val="16"/>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2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C/O ATAI LIFE SCIENCES US, INC.</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vMerge w:val="continue"/>
          </w:tcPr>
          <w:p>
            <w:pPr>
              <w:spacing w:after="0"/>
              <w:rPr>
                <w:sz w:val="18"/>
                <w:szCs w:val="18"/>
                <w:color w:val="auto"/>
              </w:rPr>
            </w:pPr>
          </w:p>
        </w:tc>
        <w:tc>
          <w:tcPr>
            <w:tcW w:w="142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01/30/2026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INDUSTRIOUS NYC, 250 WEST 34TH 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gridSpan w:val="3"/>
          </w:tcPr>
          <w:p>
            <w:pPr>
              <w:spacing w:after="0"/>
              <w:rPr>
                <w:sz w:val="17"/>
                <w:szCs w:val="17"/>
                <w:color w:val="auto"/>
              </w:rPr>
            </w:pPr>
          </w:p>
        </w:tc>
        <w:tc>
          <w:tcPr>
            <w:tcW w:w="140" w:type="dxa"/>
            <w:vAlign w:val="bottom"/>
            <w:tcBorders>
              <w:bottom w:val="single" w:sz="8" w:color="808080"/>
            </w:tcBorders>
            <w:gridSpan w:val="2"/>
          </w:tcPr>
          <w:p>
            <w:pPr>
              <w:spacing w:after="0"/>
              <w:rPr>
                <w:sz w:val="17"/>
                <w:szCs w:val="17"/>
                <w:color w:val="auto"/>
              </w:rPr>
            </w:pPr>
          </w:p>
        </w:tc>
        <w:tc>
          <w:tcPr>
            <w:tcW w:w="1960" w:type="dxa"/>
            <w:vAlign w:val="bottom"/>
            <w:tcBorders>
              <w:bottom w:val="single" w:sz="8" w:color="808080"/>
            </w:tcBorders>
            <w:gridSpan w:val="3"/>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460" w:type="dxa"/>
            <w:vAlign w:val="bottom"/>
            <w:tcBorders>
              <w:top w:val="single" w:sz="8" w:color="2C2C2C"/>
            </w:tcBorders>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7"/>
                <w:szCs w:val="17"/>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10119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36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gridSpan w:val="2"/>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3.76</w:t>
            </w:r>
          </w:p>
        </w:tc>
        <w:tc>
          <w:tcPr>
            <w:tcW w:w="120" w:type="dxa"/>
            <w:vAlign w:val="bottom"/>
          </w:tcPr>
          <w:p>
            <w:pPr>
              <w:spacing w:after="0"/>
              <w:rPr>
                <w:sz w:val="20"/>
                <w:szCs w:val="20"/>
                <w:color w:val="auto"/>
              </w:rPr>
            </w:pPr>
          </w:p>
        </w:tc>
        <w:tc>
          <w:tcPr>
            <w:tcW w:w="106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0000FF"/>
              </w:rPr>
              <w:t>01/30/2026</w:t>
            </w:r>
          </w:p>
        </w:tc>
        <w:tc>
          <w:tcPr>
            <w:tcW w:w="1040" w:type="dxa"/>
            <w:vAlign w:val="bottom"/>
          </w:tcPr>
          <w:p>
            <w:pPr>
              <w:spacing w:after="0"/>
              <w:rPr>
                <w:sz w:val="20"/>
                <w:szCs w:val="20"/>
                <w:color w:val="auto"/>
              </w:rPr>
            </w:pP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0000FF"/>
              </w:rPr>
              <w:t>1,988,000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0000FF"/>
              </w:rPr>
              <w:t>01/30/2036</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96"/>
              </w:rPr>
              <w:t>1,988,000</w:t>
            </w:r>
          </w:p>
        </w:tc>
        <w:tc>
          <w:tcPr>
            <w:tcW w:w="40" w:type="dxa"/>
            <w:vAlign w:val="bottom"/>
          </w:tcPr>
          <w:p>
            <w:pPr>
              <w:spacing w:after="0"/>
              <w:rPr>
                <w:sz w:val="20"/>
                <w:szCs w:val="20"/>
                <w:color w:val="auto"/>
              </w:rPr>
            </w:pPr>
          </w:p>
        </w:tc>
        <w:tc>
          <w:tcPr>
            <w:tcW w:w="70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right"/>
              <w:ind w:right="144"/>
              <w:spacing w:after="0"/>
              <w:rPr>
                <w:sz w:val="20"/>
                <w:szCs w:val="20"/>
                <w:color w:val="auto"/>
              </w:rPr>
            </w:pPr>
            <w:r>
              <w:rPr>
                <w:rFonts w:ascii="Times New Roman" w:cs="Times New Roman" w:eastAsia="Times New Roman" w:hAnsi="Times New Roman"/>
                <w:sz w:val="12"/>
                <w:szCs w:val="12"/>
                <w:color w:val="0000FF"/>
              </w:rPr>
              <w:t>1,988,000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right"/>
              <w:ind w:right="243"/>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442,000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01/30/2026</w:t>
            </w:r>
          </w:p>
        </w:tc>
        <w:tc>
          <w:tcPr>
            <w:tcW w:w="1040" w:type="dxa"/>
            <w:vAlign w:val="bottom"/>
          </w:tcPr>
          <w:p>
            <w:pPr>
              <w:spacing w:after="0"/>
              <w:rPr>
                <w:sz w:val="5"/>
                <w:szCs w:val="5"/>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442,000</w:t>
            </w: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jc w:val="right"/>
              <w:ind w:right="282"/>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right"/>
              <w:ind w:right="184"/>
              <w:spacing w:after="0"/>
              <w:rPr>
                <w:sz w:val="20"/>
                <w:szCs w:val="20"/>
                <w:color w:val="auto"/>
              </w:rPr>
            </w:pPr>
            <w:r>
              <w:rPr>
                <w:rFonts w:ascii="Times New Roman" w:cs="Times New Roman" w:eastAsia="Times New Roman" w:hAnsi="Times New Roman"/>
                <w:sz w:val="12"/>
                <w:szCs w:val="12"/>
                <w:color w:val="0000FF"/>
              </w:rPr>
              <w:t>442,000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-1884045</wp:posOffset>
            </wp:positionV>
            <wp:extent cx="28575" cy="1889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897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0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(subject to continued service through each such vesting date) as to 25% of the total number of shares underlying the option on January 1, 2027 and as to the remaining 75% of the total number of shares in 36 substantially equal monthly installments thereafter.</w:t>
      </w:r>
    </w:p>
    <w:p>
      <w:pPr>
        <w:ind w:left="40" w:right="3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vests (subject to continued service through each such vesting date) as to 25% of the total number of shares underlying such award on January 1, 2027 and as to the remaining 75% of the total number of shares on each of the first three anniversaries of January 1, 2027.</w:t>
      </w: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Co-Founder and Chief Executive Officer; Exhibit 24 - Power of Attorney.</w:t>
      </w:r>
    </w:p>
    <w:p>
      <w:pPr>
        <w:spacing w:after="0" w:line="6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Ryan Barrett, as attorney 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02/03/2026</w:t>
            </w:r>
          </w:p>
        </w:tc>
        <w:tc>
          <w:tcPr>
            <w:tcW w:w="0" w:type="dxa"/>
            <w:vAlign w:val="bottom"/>
          </w:tcPr>
          <w:p>
            <w:pPr>
              <w:spacing w:after="0"/>
              <w:rPr>
                <w:sz w:val="1"/>
                <w:szCs w:val="1"/>
                <w:color w:val="auto"/>
              </w:rPr>
            </w:pPr>
          </w:p>
        </w:tc>
      </w:tr>
      <w:tr>
        <w:trPr>
          <w:trHeight w:val="80"/>
        </w:trPr>
        <w:tc>
          <w:tcPr>
            <w:tcW w:w="24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1"/>
              </w:rPr>
              <w:t>fact</w:t>
            </w:r>
          </w:p>
        </w:tc>
        <w:tc>
          <w:tcPr>
            <w:tcW w:w="184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bottom w:val="single" w:sz="8" w:color="auto"/>
            </w:tcBorders>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31750"/>
                    </a:xfrm>
                    <a:prstGeom prst="rect">
                      <a:avLst/>
                    </a:prstGeom>
                    <a:noFill/>
                  </pic:spPr>
                </pic:pic>
              </a:graphicData>
            </a:graphic>
          </wp:anchor>
        </w:drawing>
        <w:t>Exhibit 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SECTION 16 AND FORM 144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POWER OF ATTORNEY</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7"/>
          <w:szCs w:val="17"/>
          <w:color w:val="231F20"/>
        </w:rPr>
        <w:t>With respect to holdings of and transactions in securities issued by AtaiBeckley Inc. (the “</w:t>
      </w:r>
      <w:r>
        <w:rPr>
          <w:rFonts w:ascii="Times New Roman" w:cs="Times New Roman" w:eastAsia="Times New Roman" w:hAnsi="Times New Roman"/>
          <w:sz w:val="17"/>
          <w:szCs w:val="17"/>
          <w:b w:val="1"/>
          <w:bCs w:val="1"/>
          <w:i w:val="1"/>
          <w:iCs w:val="1"/>
          <w:color w:val="231F20"/>
        </w:rPr>
        <w:t>Company</w:t>
      </w:r>
      <w:r>
        <w:rPr>
          <w:rFonts w:ascii="Times New Roman" w:cs="Times New Roman" w:eastAsia="Times New Roman" w:hAnsi="Times New Roman"/>
          <w:sz w:val="17"/>
          <w:szCs w:val="17"/>
          <w:color w:val="231F20"/>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231F20"/>
        </w:rPr>
        <w:t>Schedule A</w:t>
      </w:r>
      <w:r>
        <w:rPr>
          <w:rFonts w:ascii="Times New Roman" w:cs="Times New Roman" w:eastAsia="Times New Roman" w:hAnsi="Times New Roman"/>
          <w:sz w:val="17"/>
          <w:szCs w:val="17"/>
          <w:color w:val="231F20"/>
        </w:rPr>
        <w:t xml:space="preserve"> attached hereto and as may be amended from time to time, or any of them signing singly, with full power of substitution and resubstitution, to act as the undersigned’s true and lawful attorney-in-fact to:</w:t>
      </w:r>
    </w:p>
    <w:p>
      <w:pPr>
        <w:spacing w:after="0" w:line="168" w:lineRule="exact"/>
        <w:rPr>
          <w:sz w:val="20"/>
          <w:szCs w:val="20"/>
          <w:color w:val="auto"/>
        </w:rPr>
      </w:pPr>
    </w:p>
    <w:p>
      <w:pPr>
        <w:jc w:val="both"/>
        <w:ind w:left="1200" w:hanging="451"/>
        <w:spacing w:after="0" w:line="253" w:lineRule="auto"/>
        <w:tabs>
          <w:tab w:leader="none" w:pos="120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231F20"/>
        </w:rPr>
        <w:t>Exchange Act</w:t>
      </w:r>
      <w:r>
        <w:rPr>
          <w:rFonts w:ascii="Times New Roman" w:cs="Times New Roman" w:eastAsia="Times New Roman" w:hAnsi="Times New Roman"/>
          <w:sz w:val="17"/>
          <w:szCs w:val="17"/>
          <w:color w:val="231F20"/>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231F20"/>
        </w:rPr>
        <w:t>“Form 144”</w:t>
      </w:r>
      <w:r>
        <w:rPr>
          <w:rFonts w:ascii="Times New Roman" w:cs="Times New Roman" w:eastAsia="Times New Roman" w:hAnsi="Times New Roman"/>
          <w:sz w:val="17"/>
          <w:szCs w:val="17"/>
          <w:color w:val="231F20"/>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231F20"/>
        </w:rPr>
        <w:t>Securities Act</w:t>
      </w:r>
      <w:r>
        <w:rPr>
          <w:rFonts w:ascii="Times New Roman" w:cs="Times New Roman" w:eastAsia="Times New Roman" w:hAnsi="Times New Roman"/>
          <w:sz w:val="17"/>
          <w:szCs w:val="17"/>
          <w:color w:val="231F20"/>
        </w:rPr>
        <w:t>”); and</w:t>
      </w:r>
    </w:p>
    <w:p>
      <w:pPr>
        <w:spacing w:after="0" w:line="175" w:lineRule="exact"/>
        <w:rPr>
          <w:rFonts w:ascii="Times New Roman" w:cs="Times New Roman" w:eastAsia="Times New Roman" w:hAnsi="Times New Roman"/>
          <w:sz w:val="17"/>
          <w:szCs w:val="17"/>
          <w:color w:val="231F20"/>
        </w:rPr>
      </w:pPr>
    </w:p>
    <w:p>
      <w:pPr>
        <w:jc w:val="both"/>
        <w:ind w:left="1200" w:hanging="451"/>
        <w:spacing w:after="0" w:line="253" w:lineRule="auto"/>
        <w:tabs>
          <w:tab w:leader="none" w:pos="120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5"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6"/>
          <w:szCs w:val="16"/>
          <w:color w:val="231F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7"/>
          <w:szCs w:val="17"/>
          <w:color w:val="231F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7"/>
          <w:szCs w:val="17"/>
          <w:color w:val="231F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231F20"/>
        </w:rPr>
        <w:t>IN WITNESS WHEREOF, the undersigned has caused this Power of Attorney to be executed as of this 30th day of December, 2025.</w:t>
      </w:r>
    </w:p>
    <w:p>
      <w:pPr>
        <w:spacing w:after="0" w:line="20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color w:val="auto"/>
        </w:rPr>
        <w:t>/s/ Srinivas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13335</wp:posOffset>
            </wp:positionV>
            <wp:extent cx="13881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811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697230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15875"/>
                    </a:xfrm>
                    <a:prstGeom prst="rect">
                      <a:avLst/>
                    </a:prstGeom>
                    <a:noFill/>
                  </pic:spPr>
                </pic:pic>
              </a:graphicData>
            </a:graphic>
          </wp:anchor>
        </w:drawing>
      </w:r>
    </w:p>
    <w:p>
      <w:pPr>
        <w:sectPr>
          <w:pgSz w:w="11900" w:h="16838" w:orient="portrait"/>
          <w:cols w:equalWidth="0" w:num="1">
            <w:col w:w="10980"/>
          </w:cols>
          <w:pgMar w:left="460" w:top="256" w:right="459" w:bottom="1440" w:gutter="0" w:footer="0" w:header="0"/>
        </w:sectPr>
      </w:pPr>
    </w:p>
    <w:bookmarkStart w:id="2" w:name="page3"/>
    <w:bookmarkEnd w:id="2"/>
    <w:p>
      <w:pPr>
        <w:jc w:val="center"/>
        <w:ind w:right="-892"/>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00" w:lineRule="exact"/>
        <w:rPr>
          <w:sz w:val="20"/>
          <w:szCs w:val="20"/>
          <w:color w:val="auto"/>
        </w:rPr>
      </w:pPr>
    </w:p>
    <w:p>
      <w:pPr>
        <w:jc w:val="center"/>
        <w:ind w:right="-892"/>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25" w:lineRule="exact"/>
        <w:rPr>
          <w:sz w:val="20"/>
          <w:szCs w:val="20"/>
          <w:color w:val="auto"/>
        </w:rPr>
      </w:pPr>
    </w:p>
    <w:p>
      <w:pPr>
        <w:jc w:val="center"/>
        <w:ind w:right="-892"/>
        <w:spacing w:after="0"/>
        <w:rPr>
          <w:sz w:val="20"/>
          <w:szCs w:val="20"/>
          <w:color w:val="auto"/>
        </w:rPr>
      </w:pPr>
      <w:r>
        <w:rPr>
          <w:rFonts w:ascii="Times New Roman" w:cs="Times New Roman" w:eastAsia="Times New Roman" w:hAnsi="Times New Roman"/>
          <w:sz w:val="16"/>
          <w:szCs w:val="16"/>
          <w:b w:val="1"/>
          <w:bCs w:val="1"/>
          <w:color w:val="auto"/>
        </w:rPr>
        <w:t>WITH FULL POWER OF SUBSTITUTION AND RESUBSTITUTION</w:t>
      </w:r>
    </w:p>
    <w:p>
      <w:pPr>
        <w:spacing w:after="0" w:line="199" w:lineRule="exact"/>
        <w:rPr>
          <w:sz w:val="20"/>
          <w:szCs w:val="20"/>
          <w:color w:val="auto"/>
        </w:rPr>
      </w:pPr>
    </w:p>
    <w:p>
      <w:pPr>
        <w:ind w:left="593" w:hanging="593"/>
        <w:spacing w:after="0"/>
        <w:tabs>
          <w:tab w:leader="none" w:pos="59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 Johnson, Chief Financial Officer of the Company</w:t>
      </w:r>
    </w:p>
    <w:p>
      <w:pPr>
        <w:spacing w:after="0" w:line="204" w:lineRule="exact"/>
        <w:rPr>
          <w:rFonts w:ascii="Times New Roman" w:cs="Times New Roman" w:eastAsia="Times New Roman" w:hAnsi="Times New Roman"/>
          <w:sz w:val="17"/>
          <w:szCs w:val="17"/>
          <w:color w:val="auto"/>
        </w:rPr>
      </w:pPr>
    </w:p>
    <w:p>
      <w:pPr>
        <w:ind w:left="593" w:hanging="593"/>
        <w:spacing w:after="0"/>
        <w:tabs>
          <w:tab w:leader="none" w:pos="59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Ryan Barrett, Chief Legal and Business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195580</wp:posOffset>
            </wp:positionV>
            <wp:extent cx="697230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72300" cy="15875"/>
                    </a:xfrm>
                    <a:prstGeom prst="rect">
                      <a:avLst/>
                    </a:prstGeom>
                    <a:noFill/>
                  </pic:spPr>
                </pic:pic>
              </a:graphicData>
            </a:graphic>
          </wp:anchor>
        </w:drawing>
      </w:r>
    </w:p>
    <w:sectPr>
      <w:pgSz w:w="11900" w:h="16838" w:orient="portrait"/>
      <w:cols w:equalWidth="0" w:num="1">
        <w:col w:w="9912"/>
      </w:cols>
      <w:pgMar w:left="547"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60902"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2026-02-03T17:56:03Z</dcterms:created>
  <dcterms:modified xsi:type="dcterms:W3CDTF">2026-02-03T17:56:03Z</dcterms:modified>
</cp:coreProperties>
</file>