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55880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71120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ATAIBECKLEY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w:t>
      </w:r>
    </w:p>
    <w:p>
      <w:pPr>
        <w:spacing w:after="0" w:line="9" w:lineRule="exact"/>
        <w:rPr>
          <w:sz w:val="24"/>
          <w:szCs w:val="24"/>
          <w:color w:val="auto"/>
        </w:rPr>
      </w:pPr>
    </w:p>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-180975</wp:posOffset>
            </wp:positionH>
            <wp:positionV relativeFrom="paragraph">
              <wp:posOffset>287655</wp:posOffset>
            </wp:positionV>
            <wp:extent cx="23399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427" w:lineRule="exact"/>
        <w:rPr>
          <w:sz w:val="24"/>
          <w:szCs w:val="24"/>
          <w:color w:val="auto"/>
        </w:rPr>
      </w:pPr>
    </w:p>
    <w:p>
      <w:pPr>
        <w:sectPr>
          <w:pgSz w:w="11900" w:h="16838" w:orient="portrait"/>
          <w:cols w:equalWidth="0" w:num="2">
            <w:col w:w="7120" w:space="720"/>
            <w:col w:w="3400"/>
          </w:cols>
          <w:pgMar w:left="320" w:top="225" w:right="339" w:bottom="1440" w:gutter="0" w:footer="0" w:header="0"/>
          <w:type w:val="continuous"/>
        </w:sectPr>
      </w:pP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atai Life Sciences US, Inc.</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 Industrious NYC</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250 West 34th Street</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9" w:lineRule="exact"/>
        <w:rPr>
          <w:sz w:val="24"/>
          <w:szCs w:val="24"/>
          <w:color w:val="auto"/>
        </w:rPr>
      </w:pPr>
    </w:p>
    <w:p>
      <w:pPr>
        <w:jc w:val="center"/>
        <w:ind w:left="500" w:right="2180"/>
        <w:spacing w:after="0" w:line="268" w:lineRule="auto"/>
        <w:rPr>
          <w:sz w:val="20"/>
          <w:szCs w:val="20"/>
          <w:color w:val="auto"/>
        </w:rPr>
      </w:pPr>
      <w:r>
        <w:rPr>
          <w:rFonts w:ascii="Times New Roman" w:cs="Times New Roman" w:eastAsia="Times New Roman" w:hAnsi="Times New Roman"/>
          <w:sz w:val="18"/>
          <w:szCs w:val="18"/>
          <w:b w:val="1"/>
          <w:bCs w:val="1"/>
          <w:color w:val="auto"/>
        </w:rPr>
        <w:t>ATAIBECKLEY INC. 2021 INCENTIVE AWARD PLAN 2020 EMPLOYEE, DIRECTOR AND CONSULTANT EQUITY INCENTIVE PLAN (Full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45085</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Ryan Barrett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and Business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atai Life Sciences US, Inc.</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 Industrious NYC</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250 West 34th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10119+1 929 207 2670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3"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54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With copies to:</w:t>
            </w:r>
          </w:p>
        </w:tc>
        <w:tc>
          <w:tcPr>
            <w:tcW w:w="0" w:type="dxa"/>
            <w:vAlign w:val="bottom"/>
          </w:tcPr>
          <w:p>
            <w:pPr>
              <w:spacing w:after="0"/>
              <w:rPr>
                <w:sz w:val="1"/>
                <w:szCs w:val="1"/>
                <w:color w:val="auto"/>
              </w:rPr>
            </w:pPr>
          </w:p>
        </w:tc>
      </w:tr>
      <w:tr>
        <w:trPr>
          <w:trHeight w:val="88"/>
        </w:trPr>
        <w:tc>
          <w:tcPr>
            <w:tcW w:w="25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Nathan Ajiashvili</w:t>
            </w:r>
          </w:p>
        </w:tc>
        <w:tc>
          <w:tcPr>
            <w:tcW w:w="2800" w:type="dxa"/>
            <w:vAlign w:val="bottom"/>
            <w:tcBorders>
              <w:bottom w:val="single" w:sz="8" w:color="auto"/>
            </w:tcBorders>
          </w:tcPr>
          <w:p>
            <w:pPr>
              <w:spacing w:after="0"/>
              <w:rPr>
                <w:sz w:val="7"/>
                <w:szCs w:val="7"/>
                <w:color w:val="auto"/>
              </w:rPr>
            </w:pPr>
          </w:p>
        </w:tc>
        <w:tc>
          <w:tcPr>
            <w:tcW w:w="268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Ryan Barrett</w:t>
            </w:r>
          </w:p>
        </w:tc>
        <w:tc>
          <w:tcPr>
            <w:tcW w:w="0" w:type="dxa"/>
            <w:vAlign w:val="bottom"/>
          </w:tcPr>
          <w:p>
            <w:pPr>
              <w:spacing w:after="0"/>
              <w:rPr>
                <w:sz w:val="1"/>
                <w:szCs w:val="1"/>
                <w:color w:val="auto"/>
              </w:rPr>
            </w:pPr>
          </w:p>
        </w:tc>
      </w:tr>
      <w:tr>
        <w:trPr>
          <w:trHeight w:val="504"/>
        </w:trPr>
        <w:tc>
          <w:tcPr>
            <w:tcW w:w="2520" w:type="dxa"/>
            <w:vAlign w:val="bottom"/>
            <w:vMerge w:val="continue"/>
          </w:tcPr>
          <w:p>
            <w:pPr>
              <w:spacing w:after="0"/>
              <w:rPr>
                <w:sz w:val="24"/>
                <w:szCs w:val="24"/>
                <w:color w:val="auto"/>
              </w:rPr>
            </w:pPr>
          </w:p>
        </w:tc>
        <w:tc>
          <w:tcPr>
            <w:tcW w:w="28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Brian R. Umanoff</w:t>
            </w:r>
          </w:p>
        </w:tc>
        <w:tc>
          <w:tcPr>
            <w:tcW w:w="2800" w:type="dxa"/>
            <w:vAlign w:val="bottom"/>
          </w:tcPr>
          <w:p>
            <w:pPr>
              <w:spacing w:after="0"/>
              <w:rPr>
                <w:sz w:val="18"/>
                <w:szCs w:val="18"/>
                <w:color w:val="auto"/>
              </w:rPr>
            </w:pPr>
          </w:p>
        </w:tc>
        <w:tc>
          <w:tcPr>
            <w:tcW w:w="2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Chief Legal and Business Officer</w:t>
            </w:r>
          </w:p>
        </w:tc>
        <w:tc>
          <w:tcPr>
            <w:tcW w:w="0" w:type="dxa"/>
            <w:vAlign w:val="bottom"/>
          </w:tcPr>
          <w:p>
            <w:pPr>
              <w:spacing w:after="0"/>
              <w:rPr>
                <w:sz w:val="1"/>
                <w:szCs w:val="1"/>
                <w:color w:val="auto"/>
              </w:rPr>
            </w:pPr>
          </w:p>
        </w:tc>
      </w:tr>
      <w:tr>
        <w:trPr>
          <w:trHeight w:val="216"/>
        </w:trPr>
        <w:tc>
          <w:tcPr>
            <w:tcW w:w="2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Kaj Nielsen</w:t>
            </w:r>
          </w:p>
        </w:tc>
        <w:tc>
          <w:tcPr>
            <w:tcW w:w="2800" w:type="dxa"/>
            <w:vAlign w:val="bottom"/>
          </w:tcPr>
          <w:p>
            <w:pPr>
              <w:spacing w:after="0"/>
              <w:rPr>
                <w:sz w:val="18"/>
                <w:szCs w:val="18"/>
                <w:color w:val="auto"/>
              </w:rPr>
            </w:pPr>
          </w:p>
        </w:tc>
        <w:tc>
          <w:tcPr>
            <w:tcW w:w="2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AtaiBeckley Inc.</w:t>
            </w:r>
          </w:p>
        </w:tc>
        <w:tc>
          <w:tcPr>
            <w:tcW w:w="0" w:type="dxa"/>
            <w:vAlign w:val="bottom"/>
          </w:tcPr>
          <w:p>
            <w:pPr>
              <w:spacing w:after="0"/>
              <w:rPr>
                <w:sz w:val="1"/>
                <w:szCs w:val="1"/>
                <w:color w:val="auto"/>
              </w:rPr>
            </w:pPr>
          </w:p>
        </w:tc>
      </w:tr>
      <w:tr>
        <w:trPr>
          <w:trHeight w:val="216"/>
        </w:trPr>
        <w:tc>
          <w:tcPr>
            <w:tcW w:w="2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Latham &amp; Watkins LLP</w:t>
            </w:r>
          </w:p>
        </w:tc>
        <w:tc>
          <w:tcPr>
            <w:tcW w:w="2800" w:type="dxa"/>
            <w:vAlign w:val="bottom"/>
          </w:tcPr>
          <w:p>
            <w:pPr>
              <w:spacing w:after="0"/>
              <w:rPr>
                <w:sz w:val="18"/>
                <w:szCs w:val="18"/>
                <w:color w:val="auto"/>
              </w:rPr>
            </w:pPr>
          </w:p>
        </w:tc>
        <w:tc>
          <w:tcPr>
            <w:tcW w:w="2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Prof. J.H. Bavincklaan 7</w:t>
            </w:r>
          </w:p>
        </w:tc>
        <w:tc>
          <w:tcPr>
            <w:tcW w:w="0" w:type="dxa"/>
            <w:vAlign w:val="bottom"/>
          </w:tcPr>
          <w:p>
            <w:pPr>
              <w:spacing w:after="0"/>
              <w:rPr>
                <w:sz w:val="1"/>
                <w:szCs w:val="1"/>
                <w:color w:val="auto"/>
              </w:rPr>
            </w:pPr>
          </w:p>
        </w:tc>
      </w:tr>
      <w:tr>
        <w:trPr>
          <w:trHeight w:val="216"/>
        </w:trPr>
        <w:tc>
          <w:tcPr>
            <w:tcW w:w="25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1271 Avenue of the Americas</w:t>
            </w:r>
          </w:p>
        </w:tc>
        <w:tc>
          <w:tcPr>
            <w:tcW w:w="2800" w:type="dxa"/>
            <w:vAlign w:val="bottom"/>
          </w:tcPr>
          <w:p>
            <w:pPr>
              <w:spacing w:after="0"/>
              <w:rPr>
                <w:sz w:val="18"/>
                <w:szCs w:val="18"/>
                <w:color w:val="auto"/>
              </w:rPr>
            </w:pPr>
          </w:p>
        </w:tc>
        <w:tc>
          <w:tcPr>
            <w:tcW w:w="2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1183 AT Amstelveen</w:t>
            </w:r>
          </w:p>
        </w:tc>
        <w:tc>
          <w:tcPr>
            <w:tcW w:w="0" w:type="dxa"/>
            <w:vAlign w:val="bottom"/>
          </w:tcPr>
          <w:p>
            <w:pPr>
              <w:spacing w:after="0"/>
              <w:rPr>
                <w:sz w:val="1"/>
                <w:szCs w:val="1"/>
                <w:color w:val="auto"/>
              </w:rPr>
            </w:pPr>
          </w:p>
        </w:tc>
      </w:tr>
      <w:tr>
        <w:trPr>
          <w:trHeight w:val="216"/>
        </w:trPr>
        <w:tc>
          <w:tcPr>
            <w:tcW w:w="2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New York, NY 10020</w:t>
            </w:r>
          </w:p>
        </w:tc>
        <w:tc>
          <w:tcPr>
            <w:tcW w:w="2800" w:type="dxa"/>
            <w:vAlign w:val="bottom"/>
          </w:tcPr>
          <w:p>
            <w:pPr>
              <w:spacing w:after="0"/>
              <w:rPr>
                <w:sz w:val="18"/>
                <w:szCs w:val="18"/>
                <w:color w:val="auto"/>
              </w:rPr>
            </w:pPr>
          </w:p>
        </w:tc>
        <w:tc>
          <w:tcPr>
            <w:tcW w:w="26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0" w:type="dxa"/>
            <w:vAlign w:val="bottom"/>
          </w:tcPr>
          <w:p>
            <w:pPr>
              <w:spacing w:after="0"/>
              <w:rPr>
                <w:sz w:val="1"/>
                <w:szCs w:val="1"/>
                <w:color w:val="auto"/>
              </w:rPr>
            </w:pPr>
          </w:p>
        </w:tc>
      </w:tr>
      <w:tr>
        <w:trPr>
          <w:trHeight w:val="238"/>
        </w:trPr>
        <w:tc>
          <w:tcPr>
            <w:tcW w:w="2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(212) 906-1200</w:t>
            </w:r>
          </w:p>
        </w:tc>
        <w:tc>
          <w:tcPr>
            <w:tcW w:w="5480" w:type="dxa"/>
            <w:vAlign w:val="bottom"/>
            <w:gridSpan w:val="2"/>
          </w:tcPr>
          <w:p>
            <w:pPr>
              <w:jc w:val="center"/>
              <w:ind w:left="2850"/>
              <w:spacing w:after="0"/>
              <w:rPr>
                <w:sz w:val="20"/>
                <w:szCs w:val="20"/>
                <w:color w:val="auto"/>
              </w:rPr>
            </w:pPr>
            <w:r>
              <w:rPr>
                <w:rFonts w:ascii="Times New Roman" w:cs="Times New Roman" w:eastAsia="Times New Roman" w:hAnsi="Times New Roman"/>
                <w:sz w:val="18"/>
                <w:szCs w:val="18"/>
                <w:b w:val="1"/>
                <w:bCs w:val="1"/>
                <w:color w:val="auto"/>
                <w:w w:val="99"/>
              </w:rPr>
              <w:t>+31 20 793 2536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58807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179705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Post-Effective Amendment is being filed pursuant to Rule 414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by AtaiBeckley Inc., a Delaware corporation (“</w:t>
      </w:r>
      <w:r>
        <w:rPr>
          <w:rFonts w:ascii="Times New Roman" w:cs="Times New Roman" w:eastAsia="Times New Roman" w:hAnsi="Times New Roman"/>
          <w:sz w:val="18"/>
          <w:szCs w:val="18"/>
          <w:u w:val="single" w:color="auto"/>
          <w:color w:val="auto"/>
        </w:rPr>
        <w:t>Atai Delaware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as successor issuer to atai Life Sciences Luxembourg S.A., a Luxembourg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atai LuxCo</w:t>
      </w:r>
      <w:r>
        <w:rPr>
          <w:rFonts w:ascii="Times New Roman" w:cs="Times New Roman" w:eastAsia="Times New Roman" w:hAnsi="Times New Roman"/>
          <w:sz w:val="18"/>
          <w:szCs w:val="18"/>
          <w:color w:val="auto"/>
        </w:rPr>
        <w:t>”) and Atai Beckley N.V. (f/k/a atai Life Sciences N.V.), a Dutch public company (“</w:t>
      </w:r>
      <w:r>
        <w:rPr>
          <w:rFonts w:ascii="Times New Roman" w:cs="Times New Roman" w:eastAsia="Times New Roman" w:hAnsi="Times New Roman"/>
          <w:sz w:val="18"/>
          <w:szCs w:val="18"/>
          <w:u w:val="single" w:color="auto"/>
          <w:color w:val="auto"/>
        </w:rPr>
        <w:t>atai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Netherlands</w:t>
      </w:r>
      <w:r>
        <w:rPr>
          <w:rFonts w:ascii="Times New Roman" w:cs="Times New Roman" w:eastAsia="Times New Roman" w:hAnsi="Times New Roman"/>
          <w:sz w:val="18"/>
          <w:szCs w:val="18"/>
          <w:color w:val="auto"/>
        </w:rPr>
        <w:t>”). On December 30, 2025, (i) atai Netherlands merged with and into atai LuxCo (the “</w:t>
      </w:r>
      <w:r>
        <w:rPr>
          <w:rFonts w:ascii="Times New Roman" w:cs="Times New Roman" w:eastAsia="Times New Roman" w:hAnsi="Times New Roman"/>
          <w:sz w:val="18"/>
          <w:szCs w:val="18"/>
          <w:u w:val="single" w:color="auto"/>
          <w:color w:val="auto"/>
        </w:rPr>
        <w:t>LuxCo Merger</w:t>
      </w:r>
      <w:r>
        <w:rPr>
          <w:rFonts w:ascii="Times New Roman" w:cs="Times New Roman" w:eastAsia="Times New Roman" w:hAnsi="Times New Roman"/>
          <w:sz w:val="18"/>
          <w:szCs w:val="18"/>
          <w:color w:val="auto"/>
        </w:rPr>
        <w:t>”) and (ii) atai LuxCo consummated the conversion (the “</w:t>
      </w:r>
      <w:r>
        <w:rPr>
          <w:rFonts w:ascii="Times New Roman" w:cs="Times New Roman" w:eastAsia="Times New Roman" w:hAnsi="Times New Roman"/>
          <w:sz w:val="18"/>
          <w:szCs w:val="18"/>
          <w:u w:val="single" w:color="auto"/>
          <w:color w:val="auto"/>
        </w:rPr>
        <w:t>Delaware Conversion</w:t>
      </w:r>
      <w:r>
        <w:rPr>
          <w:rFonts w:ascii="Times New Roman" w:cs="Times New Roman" w:eastAsia="Times New Roman" w:hAnsi="Times New Roman"/>
          <w:sz w:val="18"/>
          <w:szCs w:val="18"/>
          <w:color w:val="auto"/>
        </w:rPr>
        <w:t>”) of atai LuxCo into a corporation incorporated under the laws of the State of Delaware, as part of the previously announced plan to change the corporate domicile of the registrant from the Netherlands to the United States via Luxembourg (the LuxCo Merger and the Delaware Conversion, together, the “</w:t>
      </w:r>
      <w:r>
        <w:rPr>
          <w:rFonts w:ascii="Times New Roman" w:cs="Times New Roman" w:eastAsia="Times New Roman" w:hAnsi="Times New Roman"/>
          <w:sz w:val="18"/>
          <w:szCs w:val="18"/>
          <w:u w:val="single" w:color="auto"/>
          <w:color w:val="auto"/>
        </w:rPr>
        <w:t>Redomiciliation Transaction</w:t>
      </w:r>
      <w:r>
        <w:rPr>
          <w:rFonts w:ascii="Times New Roman" w:cs="Times New Roman" w:eastAsia="Times New Roman" w:hAnsi="Times New Roman"/>
          <w:sz w:val="18"/>
          <w:szCs w:val="18"/>
          <w:color w:val="auto"/>
        </w:rPr>
        <w:t>”). Pursuant to the Redomiciliation Transaction, as approved by shareholders on November 4, 2025, each ordinary share of atai Netherlands, par value €0.10 per share (each, an “</w:t>
      </w:r>
      <w:r>
        <w:rPr>
          <w:rFonts w:ascii="Times New Roman" w:cs="Times New Roman" w:eastAsia="Times New Roman" w:hAnsi="Times New Roman"/>
          <w:sz w:val="18"/>
          <w:szCs w:val="18"/>
          <w:u w:val="single" w:color="auto"/>
          <w:color w:val="auto"/>
        </w:rPr>
        <w:t>atai Netherlands Ordinary Share</w:t>
      </w:r>
      <w:r>
        <w:rPr>
          <w:rFonts w:ascii="Times New Roman" w:cs="Times New Roman" w:eastAsia="Times New Roman" w:hAnsi="Times New Roman"/>
          <w:sz w:val="18"/>
          <w:szCs w:val="18"/>
          <w:color w:val="auto"/>
        </w:rPr>
        <w:t>”), was exchanged for one ordinary share of atai LuxCo, €0.10 par value per share (each, an “</w:t>
      </w:r>
      <w:r>
        <w:rPr>
          <w:rFonts w:ascii="Times New Roman" w:cs="Times New Roman" w:eastAsia="Times New Roman" w:hAnsi="Times New Roman"/>
          <w:sz w:val="18"/>
          <w:szCs w:val="18"/>
          <w:u w:val="single" w:color="auto"/>
          <w:color w:val="auto"/>
        </w:rPr>
        <w:t>atai LuxCo Ordinary Share</w:t>
      </w:r>
      <w:r>
        <w:rPr>
          <w:rFonts w:ascii="Times New Roman" w:cs="Times New Roman" w:eastAsia="Times New Roman" w:hAnsi="Times New Roman"/>
          <w:sz w:val="18"/>
          <w:szCs w:val="18"/>
          <w:color w:val="auto"/>
        </w:rPr>
        <w:t>”). As a result of the Delaware Conversion, each atai LuxCo Ordinary Share automatically converted by operation of law to one share of common stock, par value $0.01 per share, of Atai Delaware (“</w:t>
      </w:r>
      <w:r>
        <w:rPr>
          <w:rFonts w:ascii="Times New Roman" w:cs="Times New Roman" w:eastAsia="Times New Roman" w:hAnsi="Times New Roman"/>
          <w:sz w:val="18"/>
          <w:szCs w:val="18"/>
          <w:u w:val="single" w:color="auto"/>
          <w:color w:val="auto"/>
        </w:rPr>
        <w:t>Atai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Redomiciliation Transaction, Atai Delaware assumed atai Netherlands’ existing obligations in connection with awards granted under atai Netherlands equity incentive plans, assumed and amended such plans and amended such awards as necessary to provide for the issuance of shares of Atai Delaware Common Stock rather than atai Netherlands Ordinary Shares upon the exercise of awards. This Post-Effective Amendment pertains to the adoption by Atai Delaware of the following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Registration No. 333-257482. Atai Delaware hereby expressly adopts the Registration Statement as its own registration statement for all purposes of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This Post-Effective Amendment constitutes Post-Effective Amendment No. 1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w:t>
      </w:r>
    </w:p>
    <w:p>
      <w:pPr>
        <w:spacing w:after="0" w:line="22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Atai Delaware hereby incorporates by reference the following documents previously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to the extent “filed” and not “furnished” in accordance with SEC rules):</w:t>
      </w:r>
    </w:p>
    <w:p>
      <w:pPr>
        <w:spacing w:after="0" w:line="207" w:lineRule="exact"/>
        <w:rPr>
          <w:sz w:val="20"/>
          <w:szCs w:val="20"/>
          <w:color w:val="auto"/>
        </w:rPr>
      </w:pPr>
    </w:p>
    <w:p>
      <w:pPr>
        <w:ind w:left="660" w:hanging="283"/>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of atai Netherlands on Form 10-K for the fiscal year ended December 31, 2024, filed with the SEC on </w:t>
      </w:r>
      <w:hyperlink r:id="rId22">
        <w:r>
          <w:rPr>
            <w:rFonts w:ascii="Times New Roman" w:cs="Times New Roman" w:eastAsia="Times New Roman" w:hAnsi="Times New Roman"/>
            <w:sz w:val="18"/>
            <w:szCs w:val="18"/>
            <w:u w:val="single" w:color="auto"/>
            <w:color w:val="0000EE"/>
          </w:rPr>
          <w:t>March 17,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40" w:hanging="283"/>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Reports of atai Netherlands on Form 10-Q for the fiscal quarters ended March 31, 2025, June 30, 2025 and September 30, 2025, filed with the SEC on </w:t>
      </w:r>
      <w:hyperlink r:id="rId23">
        <w:r>
          <w:rPr>
            <w:rFonts w:ascii="Times New Roman" w:cs="Times New Roman" w:eastAsia="Times New Roman" w:hAnsi="Times New Roman"/>
            <w:sz w:val="18"/>
            <w:szCs w:val="18"/>
            <w:u w:val="single" w:color="auto"/>
            <w:color w:val="0000EE"/>
          </w:rPr>
          <w:t>May 14, 2025</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August 14, 2025</w:t>
        </w:r>
      </w:hyperlink>
      <w:r>
        <w:rPr>
          <w:rFonts w:ascii="Times New Roman" w:cs="Times New Roman" w:eastAsia="Times New Roman" w:hAnsi="Times New Roman"/>
          <w:sz w:val="18"/>
          <w:szCs w:val="18"/>
          <w:color w:val="auto"/>
        </w:rPr>
        <w:t xml:space="preserve">, and </w:t>
      </w:r>
      <w:hyperlink r:id="rId25">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660" w:right="120" w:hanging="283"/>
        <w:spacing w:after="0" w:line="257" w:lineRule="auto"/>
        <w:tabs>
          <w:tab w:leader="none" w:pos="660" w:val="left"/>
        </w:tabs>
        <w:numPr>
          <w:ilvl w:val="0"/>
          <w:numId w:val="1"/>
        </w:numPr>
        <w:rPr>
          <w:rFonts w:ascii="Times New Roman" w:cs="Times New Roman" w:eastAsia="Times New Roman" w:hAnsi="Times New Roman"/>
          <w:sz w:val="18"/>
          <w:szCs w:val="18"/>
          <w:color w:val="000000"/>
        </w:rPr>
      </w:pPr>
      <w:hyperlink r:id="rId26">
        <w:r>
          <w:rPr>
            <w:rFonts w:ascii="Times New Roman" w:cs="Times New Roman" w:eastAsia="Times New Roman" w:hAnsi="Times New Roman"/>
            <w:sz w:val="18"/>
            <w:szCs w:val="18"/>
            <w:color w:val="auto"/>
          </w:rPr>
          <w:t xml:space="preserve">Current Reports on Form 8-K of atai Netherlands filed with the SEC on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auto"/>
          </w:rPr>
          <w:t xml:space="preserve"> (other than Item 7.01 and Exhibit 99.1), </w:t>
        </w:r>
        <w:r>
          <w:rPr>
            <w:rFonts w:ascii="Times New Roman" w:cs="Times New Roman" w:eastAsia="Times New Roman" w:hAnsi="Times New Roman"/>
            <w:sz w:val="18"/>
            <w:szCs w:val="18"/>
            <w:u w:val="single" w:color="auto"/>
            <w:color w:val="0000EE"/>
          </w:rPr>
          <w:t>January 24,</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 xml:space="preserve">February 13, 2025 </w:t>
        </w:r>
      </w:hyperlink>
      <w:hyperlink r:id="rId26">
        <w:r>
          <w:rPr>
            <w:rFonts w:ascii="Times New Roman" w:cs="Times New Roman" w:eastAsia="Times New Roman" w:hAnsi="Times New Roman"/>
            <w:sz w:val="18"/>
            <w:szCs w:val="18"/>
            <w:color w:val="000000"/>
          </w:rPr>
          <w:t>(other than Item 7.01 and Exhibit 99.1),</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April 30, 2025</w:t>
        </w:r>
      </w:hyperlink>
      <w:hyperlink r:id="rId2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May 8, 2025</w:t>
        </w:r>
      </w:hyperlink>
      <w:hyperlink r:id="rId2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May 21, 2025</w:t>
        </w:r>
      </w:hyperlink>
      <w:hyperlink r:id="rId2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1">
        <w:r>
          <w:rPr>
            <w:rFonts w:ascii="Times New Roman" w:cs="Times New Roman" w:eastAsia="Times New Roman" w:hAnsi="Times New Roman"/>
            <w:sz w:val="18"/>
            <w:szCs w:val="18"/>
            <w:u w:val="single" w:color="auto"/>
            <w:color w:val="0000EE"/>
          </w:rPr>
          <w:t xml:space="preserve">June 2, 2025 </w:t>
        </w:r>
      </w:hyperlink>
      <w:hyperlink r:id="rId26">
        <w:r>
          <w:rPr>
            <w:rFonts w:ascii="Times New Roman" w:cs="Times New Roman" w:eastAsia="Times New Roman" w:hAnsi="Times New Roman"/>
            <w:sz w:val="18"/>
            <w:szCs w:val="18"/>
            <w:color w:val="000000"/>
          </w:rPr>
          <w:t xml:space="preserve">(other than Item </w:t>
        </w:r>
      </w:hyperlink>
      <w:r>
        <w:rPr>
          <w:rFonts w:ascii="Times New Roman" w:cs="Times New Roman" w:eastAsia="Times New Roman" w:hAnsi="Times New Roman"/>
          <w:sz w:val="18"/>
          <w:szCs w:val="18"/>
          <w:color w:val="0000EE"/>
        </w:rPr>
        <w:t xml:space="preserve">7.01 </w:t>
      </w:r>
      <w:r>
        <w:rPr>
          <w:rFonts w:ascii="Times New Roman" w:cs="Times New Roman" w:eastAsia="Times New Roman" w:hAnsi="Times New Roman"/>
          <w:sz w:val="18"/>
          <w:szCs w:val="18"/>
          <w:color w:val="000000"/>
        </w:rPr>
        <w:t xml:space="preserve">and Exhibit 99.1), </w:t>
      </w:r>
      <w:hyperlink r:id="rId32">
        <w:r>
          <w:rPr>
            <w:rFonts w:ascii="Times New Roman" w:cs="Times New Roman" w:eastAsia="Times New Roman" w:hAnsi="Times New Roman"/>
            <w:sz w:val="18"/>
            <w:szCs w:val="18"/>
            <w:u w:val="single" w:color="auto"/>
            <w:color w:val="0000EE"/>
          </w:rPr>
          <w:t>July 1,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Item 7.01 and Exhibits 99.1, 99.2 and 99.3), </w:t>
      </w:r>
      <w:hyperlink r:id="rId33">
        <w:r>
          <w:rPr>
            <w:rFonts w:ascii="Times New Roman" w:cs="Times New Roman" w:eastAsia="Times New Roman" w:hAnsi="Times New Roman"/>
            <w:sz w:val="18"/>
            <w:szCs w:val="18"/>
            <w:u w:val="single" w:color="auto"/>
            <w:color w:val="0000EE"/>
          </w:rPr>
          <w:t>September 23,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(other than Item 7.01 and Exhibit</w:t>
      </w:r>
    </w:p>
    <w:p>
      <w:pPr>
        <w:spacing w:after="0" w:line="1" w:lineRule="exact"/>
        <w:rPr>
          <w:rFonts w:ascii="Times New Roman" w:cs="Times New Roman" w:eastAsia="Times New Roman" w:hAnsi="Times New Roman"/>
          <w:sz w:val="18"/>
          <w:szCs w:val="18"/>
          <w:color w:val="000000"/>
        </w:rPr>
      </w:pPr>
    </w:p>
    <w:p>
      <w:pPr>
        <w:ind w:left="6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r:id="rId34">
        <w:r>
          <w:rPr>
            <w:rFonts w:ascii="Times New Roman" w:cs="Times New Roman" w:eastAsia="Times New Roman" w:hAnsi="Times New Roman"/>
            <w:sz w:val="18"/>
            <w:szCs w:val="18"/>
            <w:u w:val="single" w:color="auto"/>
            <w:color w:val="0000EE"/>
          </w:rPr>
          <w:t>September 29,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October 10,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October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7.01 and Exhibit 99.1), </w:t>
      </w:r>
      <w:hyperlink r:id="rId37">
        <w:r>
          <w:rPr>
            <w:rFonts w:ascii="Times New Roman" w:cs="Times New Roman" w:eastAsia="Times New Roman" w:hAnsi="Times New Roman"/>
            <w:sz w:val="18"/>
            <w:szCs w:val="18"/>
            <w:u w:val="single" w:color="auto"/>
            <w:color w:val="0000EE"/>
          </w:rPr>
          <w:t>October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2.02, 7.01 and Exhibit 99.1), </w:t>
      </w:r>
      <w:hyperlink r:id="rId38">
        <w:r>
          <w:rPr>
            <w:rFonts w:ascii="Times New Roman" w:cs="Times New Roman" w:eastAsia="Times New Roman" w:hAnsi="Times New Roman"/>
            <w:sz w:val="18"/>
            <w:szCs w:val="18"/>
            <w:u w:val="single" w:color="auto"/>
            <w:color w:val="0000EE"/>
          </w:rPr>
          <w:t>October 21,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7.01 and Exhibit 99.1), </w:t>
      </w:r>
      <w:hyperlink r:id="rId39">
        <w:r>
          <w:rPr>
            <w:rFonts w:ascii="Times New Roman" w:cs="Times New Roman" w:eastAsia="Times New Roman" w:hAnsi="Times New Roman"/>
            <w:sz w:val="18"/>
            <w:szCs w:val="18"/>
            <w:u w:val="single" w:color="auto"/>
            <w:color w:val="0000EE"/>
          </w:rPr>
          <w:t>October 27,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November 4,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November 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7.01 and Exhibit 99.1), and </w:t>
      </w:r>
      <w:hyperlink r:id="rId42">
        <w:r>
          <w:rPr>
            <w:rFonts w:ascii="Times New Roman" w:cs="Times New Roman" w:eastAsia="Times New Roman" w:hAnsi="Times New Roman"/>
            <w:sz w:val="18"/>
            <w:szCs w:val="18"/>
            <w:u w:val="single" w:color="auto"/>
            <w:color w:val="0000EE"/>
          </w:rPr>
          <w:t>November 5, 2025</w:t>
        </w:r>
      </w:hyperlink>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and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660" w:right="280" w:hanging="328"/>
        <w:spacing w:after="0" w:line="266" w:lineRule="auto"/>
        <w:tabs>
          <w:tab w:leader="none" w:pos="660" w:val="left"/>
        </w:tabs>
        <w:numPr>
          <w:ilvl w:val="0"/>
          <w:numId w:val="2"/>
        </w:numPr>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auto"/>
          </w:rPr>
          <w:t xml:space="preserve">The description of Atai Delaware Common Stock that is contained in atai LuxCo’s Registration Statement on Form S-4 filed on </w:t>
        </w:r>
        <w:r>
          <w:rPr>
            <w:rFonts w:ascii="Times New Roman" w:cs="Times New Roman" w:eastAsia="Times New Roman" w:hAnsi="Times New Roman"/>
            <w:sz w:val="18"/>
            <w:szCs w:val="18"/>
            <w:u w:val="single" w:color="auto"/>
            <w:color w:val="0000EE"/>
          </w:rPr>
          <w:t>September 22,</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declared effective by the SEC on September 24, 2025, including any amendment or report filed for the purpose of updating such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description.</w:t>
      </w:r>
    </w:p>
    <w:p>
      <w:pPr>
        <w:spacing w:after="0" w:line="176" w:lineRule="exact"/>
        <w:rPr>
          <w:rFonts w:ascii="Times New Roman" w:cs="Times New Roman" w:eastAsia="Times New Roman" w:hAnsi="Times New Roman"/>
          <w:sz w:val="18"/>
          <w:szCs w:val="18"/>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All reports that Atai Delaware subsequently files pursuant to Sections 13(a) and 13(c), 14 and 15(d) of the Exchange Act, on or after the date of this Post-Effective Amendment and prior to the filing of a post-effective amendment, which indicate that all securities offered hereunder have been sold or which deregister all such securities then remaining unsold, shall be deemed to be incorporated by reference in this Post-Effective Amendment and to be a part hereof from the date of filing of such reports and documents. Unless expressly incorporated in this Post-Effective Amendment, a report furnished on Form 8-K shall not be incorporated by reference into this Post-Effective Amendment.</w:t>
      </w:r>
    </w:p>
    <w:p>
      <w:pPr>
        <w:spacing w:after="0" w:line="183" w:lineRule="exact"/>
        <w:rPr>
          <w:rFonts w:ascii="Times New Roman" w:cs="Times New Roman" w:eastAsia="Times New Roman" w:hAnsi="Times New Roman"/>
          <w:sz w:val="18"/>
          <w:szCs w:val="18"/>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by reference herein shall be deemed to be modified or superseded for purposes of this Post-Effective Amendment to the extent that a statement contained herein or in any other subsequently filed document that also is or is deemed to be incorporated by reference herein modifies or supersedes such earlier statement. Any statement so modified or superseded shall not be deemed, except as so modified or superseded, to constitute a part of this Post-Effective Amendment.</w:t>
      </w:r>
    </w:p>
    <w:p>
      <w:pPr>
        <w:spacing w:after="0" w:line="17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Description of Securities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Interests of Named Experts and Counsel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Atai Delaware is subject to the laws of Delaware on corporate matters, including its indemnification provisions. Section 102 of the DGCL permits a corporation to eliminate the personal liability of directors and certain officers of a corporation to the corporation or its stockholders for monetary damages for a breach of fiduciary duty as directors and officers, except where (i) a director or officer breached his or her duty of loyalty to the corporation or its stockholders, (ii) a director or officer failed to act in good faith, engaged in intentional misconduct or knowingly violated a law, (iii) a director authorized the payment of a dividend or approved a stock repurchase in violation of Delaware corporate law, (iv) a director or officer obtained an improper personal benefit and (v) an officer is liable in any action by or in the right of the corporation. The certificate of incorporation of Atai Delaware eliminates the personal liability of Atai Delaware directors and officers to the fullest extent permitted by the DGCL.</w:t>
      </w:r>
    </w:p>
    <w:p>
      <w:pPr>
        <w:spacing w:after="0" w:line="189" w:lineRule="exact"/>
        <w:rPr>
          <w:rFonts w:ascii="Times New Roman" w:cs="Times New Roman" w:eastAsia="Times New Roman" w:hAnsi="Times New Roman"/>
          <w:sz w:val="18"/>
          <w:szCs w:val="18"/>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whether civil, criminal, administrative or investigative (other than an action by or in the right of the corporation, a “derivative action”)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A similar standard is applicable to indemnification in derivative actions, except that indemnification only extends to expenses (including attorneys’ fees) and no indemnification is permitted to be made with respect to any claim, issue or matter as to which such person has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will deem proper. The DGCL also permits the advancement of expenses incurred by a director or officer in defense of an action, suit or proceeding, and, under certain circumstances, mandates the indemnification of such expenses. Furthermore, the DGCL provides that indemnification pursuant to these provisions is not exclusive of other rights of indemnification to which a person may be entitled under any bylaw, agreement, vote of stockholders or disinterested directors or otherwise. The certificate of incorporation of Atai Delaware and bylaws of Atai Delaware provide for the indemnification of directors and certain officers to the fullest extent permitted under the DGCL.</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Atai Delaware has also entered into certain indemnification agreements with its directors and executive officers. The indemnification agreements provide Atai Delaware’s directors and executive officers with further indemnification, to the maximum extent permitted by the DGCL.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permitted by Section 145(g) of the DGCL, Atai Delaware also maintains a directors’ and officers’ insurance policy that insures the directors and officers of Atai Delaware against liability asserted against such persons in such capacity whether or not such directors or officers have the right to indemnification pursuant to the Atai Delaware certificate of incorporation, bylaws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Exemption from Registration Claimed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16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0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6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7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Certificate of Incorporation of the Registrant (filed herewith).</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7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Bylaws of the Registrant (filed herewith).</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7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Opinion of Latham &amp; Watkins LLP as to the legality of the securities being registered (filed herewith).</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1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Latham &amp; Watkins LLP (included in Exhibit 5.1).</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1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Deloitte &amp; Touche LLP, independent registered public accounting firm (filed herewith).</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1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Consent of PricewaterhouseCoopers LLP, independent auditors (filed herewith).</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1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96"/>
        </w:trPr>
        <w:tc>
          <w:tcPr>
            <w:tcW w:w="1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AtaiBeckley Inc. 2021 Incentive Award Plan (filed herewith).</w:t>
            </w:r>
          </w:p>
        </w:tc>
      </w:tr>
      <w:tr>
        <w:trPr>
          <w:trHeight w:val="216"/>
        </w:trPr>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r>
      <w:tr>
        <w:trPr>
          <w:trHeight w:val="176"/>
        </w:trPr>
        <w:tc>
          <w:tcPr>
            <w:tcW w:w="108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hyperlink>
          </w:p>
        </w:tc>
        <w:tc>
          <w:tcPr>
            <w:tcW w:w="10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2020 Employee, Director and Consultant Equity Incentive Plan (incorporated by reference to Exhibit 10.20 to Amendment No. 4 to atai’s</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 on Form S-1 (File No. 333-255383), filed with the SEC on June 11, 2021).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Undertakings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2280" w:right="120" w:hanging="490"/>
        <w:spacing w:after="0" w:line="254" w:lineRule="auto"/>
        <w:tabs>
          <w:tab w:leader="none" w:pos="22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in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624" w:right="340" w:hanging="490"/>
        <w:spacing w:after="0" w:line="282" w:lineRule="auto"/>
        <w:tabs>
          <w:tab w:leader="none" w:pos="16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44"/>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82" w:lineRule="exact"/>
        <w:rPr>
          <w:sz w:val="20"/>
          <w:szCs w:val="20"/>
          <w:color w:val="auto"/>
        </w:rPr>
      </w:pPr>
    </w:p>
    <w:p>
      <w:pPr>
        <w:ind w:left="964" w:right="140" w:hanging="316"/>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left="964" w:right="140" w:hanging="316"/>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56" w:firstLine="656"/>
        <w:spacing w:after="0" w:line="281" w:lineRule="auto"/>
        <w:tabs>
          <w:tab w:leader="none" w:pos="24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4" w:lineRule="exact"/>
        <w:rPr>
          <w:sz w:val="20"/>
          <w:szCs w:val="20"/>
          <w:color w:val="auto"/>
        </w:rPr>
      </w:pPr>
    </w:p>
    <w:p>
      <w:pPr>
        <w:ind w:left="-656" w:right="60" w:firstLine="656"/>
        <w:spacing w:after="0" w:line="255"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242570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 to be signed on its behalf by the undersigned, thereunto duly authorized, in the city of Acton, Massachusetts, on this 30th day of December, 2025.</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ATAIBECKLEY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Ryan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Ryan Barrett</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Ryan Barrett and Jarett Schultz, and each of them, with full power of substitution and full power to act without the others, his or her true and lawful attorney-in-fact and agent to act for him or her in his or her name, place and stead, in any and all capacities, to sign any and all amendments (including post-effective amendments) to the Registration Statement amended by this Post-Effective Amendment, and to file this Post-Effective Amendment, with all exhibits thereto, and other documents in connection therewith, with the SEC,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has been signed by the following persons in the capacities and on the date indicated.</w:t>
      </w:r>
    </w:p>
    <w:p>
      <w:pPr>
        <w:sectPr>
          <w:pgSz w:w="11900" w:h="16838" w:orient="portrait"/>
          <w:cols w:equalWidth="0" w:num="1">
            <w:col w:w="11240"/>
          </w:cols>
          <w:pgMar w:left="320" w:top="117" w:right="339" w:bottom="1440" w:gutter="0" w:footer="0" w:header="0"/>
        </w:sectPr>
      </w:pPr>
    </w:p>
    <w:p>
      <w:pPr>
        <w:spacing w:after="0" w:line="158"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u w:val="single" w:color="auto"/>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Srinivas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Srinivas Rao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Anne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Anne Johnson</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Christian Angermayer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Christian Angermayer</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Scott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Scott Braunstein</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Cosmo Feilding-Mellen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Cosmo Feilding-Mellen</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Laurent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Laurent Fischer</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John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John Hoffman</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08610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2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Sabrina Martucci Johnson</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Amir Kalali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Amir Kalali</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Andrea Heslin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Andrea Heslin Smiley</w:t>
      </w:r>
    </w:p>
    <w:p>
      <w:pPr>
        <w:spacing w:after="0" w:line="22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Robert Hershberg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08610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Robert Hershberg</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4"/>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3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43"/>
        </w:trPr>
        <w:tc>
          <w:tcPr>
            <w:tcW w:w="3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Chief Financial Officer and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3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3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75"/>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r>
        <w:trPr>
          <w:trHeight w:val="661"/>
        </w:trPr>
        <w:tc>
          <w:tcPr>
            <w:tcW w:w="348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December 30,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497205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400" w:space="720"/>
            <w:col w:w="6120"/>
          </w:cols>
          <w:pgMar w:left="320" w:top="117" w:right="339" w:bottom="1440" w:gutter="0" w:footer="0" w:header="0"/>
          <w:type w:val="continuous"/>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ATAIBECKLEY INC.</w:t>
      </w:r>
    </w:p>
    <w:p>
      <w:pPr>
        <w:spacing w:after="0" w:line="20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AtaiBeckley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AtaiBeckley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1209 Orange Street, in the City of Wilmington, County of New Castle, Delaware 19801, and the name of its registered agent at such address is CT Corporation System.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it now exists or may hereafter be amended and supplemented.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total number of shares of capital stock which the Corporation shall have authority to issue is 787,500,000. The total number of shares of Common Stock that the Corporation is authorized to issue is 750,000,000, having a par value of $0.01 per share, and the total number of shares of Preferred Stock that the Corporation is authorized to issue is 37,500,000, having a par value of $0.01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designations and the powers, privileges and rights, and the qualifications, limitations or restrictions thereof in respect of each class of capital stock of the Corporation are as follows:</w:t>
      </w:r>
    </w:p>
    <w:p>
      <w:pPr>
        <w:spacing w:after="0" w:line="162"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and powers of the Common Stock are subject to and qualified by the rights, powers and preferences of any series of Preferred Stock as may be designated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and outstanding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jc w:val="both"/>
        <w:ind w:firstLine="1304"/>
        <w:spacing w:after="0" w:line="255" w:lineRule="auto"/>
        <w:tabs>
          <w:tab w:leader="none" w:pos="1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herein or expressly required by law, each holder of Common Stock, as such, shall be entitled to vote on each matter submitted to a vote of stockholders and shall be entitled to one (1) vote for each share of Common Stock held of record by such holder as of the record date for determining stockholders entitled to vote on such matter. Except as otherwise required by law, holders of Common Stock, as such, shall not be entitled to vote on any amendment to this Certificate of Incorporation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(including any Certificate of Designation (as defined below)) that relates solely to the rights, powers, preferences (or the qualifications, limitations or restrictions thereof) or other terms of one or more outstanding series of Preferred Stock if the holders of such affected series are entitled, either separately or together with the holders of one or more other such series, to vote thereon pursuant to this Certificate (including any Certificate of Designation) or pursuant to the DGCL.</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Subject to the rights of any holders of any outstanding series of Preferred Stock, the number of authorized shares of Common Stock or Preferred Stock may be increased or decreased (but not below the number of shares thereof then outstanding) by the requisite vote of the stockholders entitled to vote thereon, voting as a single class, irrespective of the provisions of Section 242(b)(2) of the DGCL.</w:t>
      </w:r>
    </w:p>
    <w:p>
      <w:pPr>
        <w:spacing w:after="0" w:line="176" w:lineRule="exact"/>
        <w:rPr>
          <w:sz w:val="20"/>
          <w:szCs w:val="20"/>
          <w:color w:val="auto"/>
        </w:rPr>
      </w:pPr>
    </w:p>
    <w:p>
      <w:pPr>
        <w:jc w:val="both"/>
        <w:ind w:firstLine="1304"/>
        <w:spacing w:after="0" w:line="266" w:lineRule="auto"/>
        <w:tabs>
          <w:tab w:leader="none" w:pos="1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the rights and preferences of any holders of any outstanding series of Preferred Stock, the holders of Common Stock, as such, shall be entitled to the payment of dividends on the Common Stock when, as and if declared by the Board of Directors in accordance with applicable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xml:space="preserve">. Subject to the rights and preferences of any holders of any shares of any outstanding series of Preferred Stock, in the event of any liquidation, dissolution or winding up of the Corporation, whether voluntary or involuntary, the funds and assets of the Corporation that may be legally distributed to the Corporation’s stockholders shall be distributed among the holders of the then outstanding Common Stock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the number of shares of Common Stock held by each such holder.</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series, each of such series to have such terms as stated or expressed herein and in the resolution or resolutions providing for the creation and issuance of such series adopted by the Board of Directors as hereinafter provided.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 relating thereto in accordance with the DGCL (a “</w:t>
      </w: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and to increase or decrease (but not below the number of shares of such series then outstanding) the number of shares of any series as shall be stated and expressed in such resolutions, all to the fullest extent now or hereafter permitted by the DGCL. Without limiting the generality of the foregoing, the resolution or resolutions providing for the creation and issuance of any series of Preferred Stock may provide that such series shall be superior or rank equally or be junior to any other series of Preferred Stock to the extent permitted by law and this Certificate (including any Certificate of Designation). Except as otherwise required by law, holders of any series of Preferred Stock shall be entitled only to such voting rights, if any, as shall expressly be granted thereto by this Certificate (including any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authorized shares of Preferred Stock may be increased or decreased (but not below the number of shares thereof then outstanding) irrespective of the provisions of Section 242(b)(2) of the DGCL.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Corporation it is further provided that: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Subject to the special rights of the holders of one or more outstanding series of Preferred Stock to elect directors, the directors of the Corporation shall be classified with respect to the time for which they severally hold office into three classes, designated as Class I, Class II and Class III. The initial Class I directors shall serve for a term expiring at the first annual meeting of stockholders following the date of filing of this Certificate (the “Effective Date”); the initial Class II directors shall serve for a term expiring at the second annual meeting of stockholders following the Effective Date; and the initial Class III directors shall serve for a term expiring at the third annual meeting of stockholders following the Effective Date. At each annual meeting of stockholders of the Corporation beginning with the first annual meeting of stockholders following the Effective Date, subject to any special rights of the holders of one or more outstanding series of Preferred Stock to elect directors, the successors of the class of directors whose term expires at that meeting shall be elected to hold office for a term expiring at the annual meeting of stockholders held in the third year following the year of their election. Each director shall hold office until his or her successor is duly elected and qualified or until his or her earlier death, resignation, disqualification or removal. No decrease in the number of directors shall shorten the term of any incumbent director. The Board of Directors is authorized to designate members of the Board of Directors already in office as Class I, Class II and Class III.</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Except as otherwise expressly provided by the DGCL or this Certificate, the business and affairs of the Corporation shall be managed by or under the direction of the Board of Directors. The number of directors which shall constitute the whole Board of Directors shall be fixed exclusively by one or more resolutions adopted from time to time by the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Subject to the special rights of the holders of one or more outstanding series of Preferred Stock to elect directors, the Board of Directors or any individual director may be removed from office at any time, but only for cause and only by the affirmative vote of the holders of at least two-thirds of the voting power of all of the then outstanding shares of voting stock of the Corporation entitled to vote generally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Subject to the special rights of the holders of one or more outstanding series of Preferred Stock to elect directors, except as otherwise provided by law, any vacancies on the Board of Directors resulting from death, resignation, disqualification, retirement, removal or other causes and any newly created directorships resulting from any increase in the number of directors shall be filled exclusively by the affirmative vote of a majority of the directors then in office, even though less than a quorum, or by a sole remaining director (other than any directors elected by the separate vote of one or more outstanding series of Preferred Stock), and shall not be filled by the stockholders. Any director appointed in accordance with the preceding sentence shall hold office until the expiration of the term of the class to which such director shall have been appointed or until his or her earlier death, resignation, retirement, disqualification or removal.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 Whenever the holders of any one or more series of Preferred Stock issued by the Corporation shall have the 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 Notwithstanding anything to the contrary in this Article VI, the number of directors that may be elected by the holders of any such series of Preferred Stock shall be in addition to the number fixed pursuant to paragraph B of this Article VI, and the total number of directors constituting the whole Board of Directors shall be automatically adjusted accordingly. Except as otherwise provided in the Certificate of Designation(s) in respect of one or more series of Preferred Stock, whenever the holders of any series of Preferred Stock having such right to elect additional directors are divested of such right pursuant to the provisions of such Certificate of Designation(s), the terms of office of all such additional directors elected by the holders of such series of Preferred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92" w:lineRule="exact"/>
        <w:rPr>
          <w:sz w:val="20"/>
          <w:szCs w:val="20"/>
          <w:color w:val="auto"/>
        </w:rPr>
      </w:pPr>
    </w:p>
    <w:p>
      <w:pPr>
        <w:jc w:val="both"/>
        <w:ind w:firstLine="656"/>
        <w:spacing w:after="0" w:line="256" w:lineRule="auto"/>
        <w:tabs>
          <w:tab w:leader="none" w:pos="8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powers conferred by statute, the Board of Directors is expressly authorized to adopt, amend or repeal the Bylaws of the Corporation. In addition to any vote of the holders of any class or series of stock of the Corporation required by applicable law or by this Certificate of Incorporation (including any Certificate of Designation in respect of one or more series of Preferred Stock) or the Bylaws of the Corporation, the adoption, amendment or repeal of the Bylaws of the Corporation by the stockholders of the Corporation shall require the affirmative vote of the holders of at least two-thirds of the voting power of all of the then outstanding shares of voting stock of the Corporation entitled to vote generally in an election of directors, voting together as a single class.</w:t>
      </w:r>
    </w:p>
    <w:p>
      <w:pPr>
        <w:spacing w:after="0" w:line="18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Corporation need not be elected by written ballot unless the Bylaws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Any action required or permitted to be taken by the stockholders of the Corporation must be effected at an annual or special meeting of stockholders of the Corporation, and shall not be taken by written consent in lieu of a meeting. Notwithstanding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the Corporation in accordance with the applicable provisions of the DGCL.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Subject to the special rights of the holders of one or more series of Preferred Stock, special meetings of stockholders of the Corporation may be called, for any purpose or purposes, at any time only by or at the direction of the Board of Directors, the Chairperson of the Board of Directors or the Chief Executive Officer, and shall not be called by any other person or persons.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Advance notice of stockholder nominations for the election of directors and of other business proposed to be brought by stockholders before any meeting of stockholders of the Corporation shall be given in the manner provided in the Bylaws of the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director or officer of the Corporation shall have any personal liability to the Corporation or its stockholders for monetary damages for any breach of fiduciary duty as a director or officer, except to the extent such exemption from liability or limitation thereof is not permitted under the DGCL as the same exists or hereafter may be amended. Any amendment, repeal or modification of this Article VIII, or the adoption of any provision of this Certificate inconsistent with this Article VIII, shall not adversely affect any right or protection of a director or officer of the Corporation with respect to any act or omission occurring prior to such amendment, repeal, modification or adoption. If the DGCL is amended after approval by the stockholders of this Article VIII to authorize corporate action further eliminating or limiting the personal liability of directors or officers, then the liability of a director or officer of the Corporation shall be eliminated or limited to the fullest extent permitted by the DGCL as so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the Corporation renounces any interest or expectancy of the Corporation and its subsidiaries in any business opportunity, transaction or other matter in which Apeiron Investment Group Ltd. (“</w:t>
      </w:r>
      <w:r>
        <w:rPr>
          <w:rFonts w:ascii="Times New Roman" w:cs="Times New Roman" w:eastAsia="Times New Roman" w:hAnsi="Times New Roman"/>
          <w:sz w:val="18"/>
          <w:szCs w:val="18"/>
          <w:u w:val="single" w:color="auto"/>
          <w:color w:val="auto"/>
        </w:rPr>
        <w:t>Apeiron</w:t>
      </w:r>
      <w:r>
        <w:rPr>
          <w:rFonts w:ascii="Times New Roman" w:cs="Times New Roman" w:eastAsia="Times New Roman" w:hAnsi="Times New Roman"/>
          <w:sz w:val="18"/>
          <w:szCs w:val="18"/>
          <w:color w:val="auto"/>
        </w:rPr>
        <w:t>”), any Affiliate (as defined in Rule 12b-2 of the Securities Exchange Act of 1934, as amended), officer, director, principal, partner, member, employee or other representative of Apeiron, and any portfolio company in which such entities or persons have an equity interest (other than the Corporation and its subsidiaries) (each, a “</w:t>
      </w:r>
      <w:r>
        <w:rPr>
          <w:rFonts w:ascii="Times New Roman" w:cs="Times New Roman" w:eastAsia="Times New Roman" w:hAnsi="Times New Roman"/>
          <w:sz w:val="18"/>
          <w:szCs w:val="18"/>
          <w:u w:val="single" w:color="auto"/>
          <w:color w:val="auto"/>
        </w:rPr>
        <w:t>Specified Party</w:t>
      </w:r>
      <w:r>
        <w:rPr>
          <w:rFonts w:ascii="Times New Roman" w:cs="Times New Roman" w:eastAsia="Times New Roman" w:hAnsi="Times New Roman"/>
          <w:sz w:val="18"/>
          <w:szCs w:val="18"/>
          <w:color w:val="auto"/>
        </w:rPr>
        <w:t>”) participates or desires or seeks to participate, even if the opportunity is one that the Corporation or its subsidiaries might reasonably be deemed to have pursued or had the ability or desire to pursue if granted the opportunity to do so, and each such Specified Party shall have no duty to communicate or offer such business opportunity to the Corporation and, to the fullest extent permitted by applicable law, shall not be liable to the Corporation or any of its subsidiaries or any stockholder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its subsidiaries. For the avoidance of doubt, the Specified Party shall, to the fullest extent permitted by law, have the right to, and shall have no duty (whether contractual or otherwise) not to, directly or indirectly: (a) engage in the same, similar or competing business activities or lines of business as the Corporation, (b) do business with any client or customer of the Corporation, or (c) make investments in competing businesses of the Corporation, and such acts shall not be deemed wrongful or improper.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the laws of the State of Delaware, no potential transaction or business opportunity may be deemed to be a corporate opportunity of the Corporation or its subsidiaries unless (a) the Corporation or its subsidiaries would be permitted to undertake such transaction or opportunity in accordance with this Certificate, (b) the Corporation or its subsidiaries at such time have sufficient financial resources to undertake such transaction or opportunity (c) the Corporation or its subsidiaries have an interest or expectancy in such transaction or opportunity and (d)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Corporation, on behalf of itself and its subsidiaries, does not hereby renounce any interest or expectancy it or its subsidiaries may have in any business opportunity, transaction or other matter that is offered in writing solely to (1) a director or officer of the Corporation or its subsidiaries who is not also a Specified Party, or (2) a Specified Party who is a director, officer, employee or other representative of the Corporation or its subsidiaries and who is offered such opportunity solely in his or her capacity as a director, officer, employee or other representative of the Corporation or its subsidiaries. Any person purchasing or otherwise acquiring any interest in any shares of stock of the Corporation shall be deemed to have notice of and consented to the provisions of this Article X. Neither the alteration, amendment or repeal of this Article X nor the adoption of any provision of this Certificate inconsistent with this Article X nor, to the fullest extent permitted by the laws of the State of Delaware, any modification of law, shall eliminate or reduce the effect of this Article X in respect of any business opportunity first identified or any other matter occurring, or any cause of action, suit or claim that, but for this Article X, would accrue or arise, prior to such alteration, amendment, repeal, adoption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both"/>
        <w:ind w:firstLine="656"/>
        <w:spacing w:after="0" w:line="258" w:lineRule="auto"/>
        <w:tabs>
          <w:tab w:leader="none" w:pos="97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Certificate to the contrary, in addition to any vote required by applicable law, the following provisions in this Certificate may be amended, altered, repealed or rescinded, in whole or in part, or any provision inconsistent therewith or herewith may be adopted, only by the affirmative vote of the holders of at least two-thirds of the total voting power of all the then outstanding shares of stock of the Corporation entitled to vote thereon, voting together as a single class: Part B of Article V, Article VI, Article VII, Article VIII, Article IX, Article X and this Article XI.</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or provisions of this Certificate shall be held to be invalid, illegal or unenforceable as applied to any circumstance for any reason whatsoever: (i) the validity, legality and enforceability of such provisions in any other circumstance and of the remaining provisions of this Certificate (including, without limitation, each portion of any paragraph of this Certificate containing any such provision held to be invalid, illegal or unenforceable that is not itself held to be invalid, illegal or unenforceable) shall not, to the fullest extent permitted by applicable law, in any way be affected or impaired thereby and (ii) to the fullest extent permitted by applicable law, the provisions of this Certificate (including, without limitation, each such portion of any paragraph of this Certificate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name and mailing address of the incorporator of the Corporation is Srinivas Rao, Prof. J.H. Bavincklaan 7, 1183 AT Amstelveen,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Incorporation has been executed by the incorporator of AtaiBeckley Inc. on this 30th day of December, 2025.</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Srinivas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26035</wp:posOffset>
            </wp:positionV>
            <wp:extent cx="33604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Srinivas Rao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Incorporator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AtaiBeckley Inc.</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as of December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54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9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1.1</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Registered Office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1.2</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Offices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2.1</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2.2</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2.3</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2.4</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Notice of Business to be Brought before a Meeting.</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2.5</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Nominations for Election to the Board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2.6</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Requirements for Valid Nomination of Candidates to Serve as Director and, if Elected, to be Seated as Directors.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2.7</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2.8</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2.9</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Adjourned Meeting; Notice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2.10</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2.11</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2.12</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Record Date for Stockholder Meetings and Other Purposes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2.13</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2.14</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2.15</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Inspectors of Election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2.16</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Delivery to the Corporation.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Powers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3.2</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3.3</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3.4</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3.5</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3.6</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Meetings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3.7</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Special Meetings; Notice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3.8</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3.9</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Board Action without a Meeting</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3.10</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4.1</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Committees of Directors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4.2</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Committee Minutes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4.3</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Meetings and Actions of Committees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4.4</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Subcommittees.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5.1</w:t>
            </w:r>
          </w:p>
        </w:tc>
        <w:tc>
          <w:tcPr>
            <w:tcW w:w="9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Officers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5.2</w:t>
            </w:r>
          </w:p>
        </w:tc>
        <w:tc>
          <w:tcPr>
            <w:tcW w:w="9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Officers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7700" w:type="dxa"/>
            <w:vAlign w:val="bottom"/>
          </w:tcPr>
          <w:p>
            <w:pPr>
              <w:ind w:left="39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770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26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94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5.3</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Subordinate Officers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5.4</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5.5</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Vacancies in Offices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5.6</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 of Shares of Other Corporations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5.7</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5.8</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Records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Matters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7.1</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7.2</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Uncertificated Shares; Stock Certificates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7.3</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Designation of Certificates.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7.4</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Lost Certificates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7.5</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Definitions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7.6</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7.7</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7.8</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Seal</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7.9</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Stock</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7.10</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7.11</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Stockholders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7.12</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Waiver of Notice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 Notice</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8.1</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Delivery of Notice; Notice by Electronic Transmission</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 Indemnification</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9.1</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9.2</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9.3</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Prepayment of Expenses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9.4</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Claim</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9.5</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Non-Exclusivity of Rights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9.6</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9.7</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Indemnification</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9.8</w:t>
            </w:r>
          </w:p>
        </w:tc>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Continuation of Indemnification</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9.9</w:t>
            </w:r>
          </w:p>
        </w:tc>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 or Repeal; Interpretation</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 Forum Selection</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 Definitions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AtaiBeckley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AtaiBeckley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Corporation’s certificate of incorporation, as the same may be amended and/or restated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have additional offices at any place or places, within or outside the State of Delaware, as the Corporation’s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establish or as the business of the Corporation may require.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Corporation’s principal executive office.</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Annual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shall designate the date and time of the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At the annual meeting, directors shall be elected and other proper business properly brought before the meeting in accordance with Section 2.4 of these bylaws may be transacted. The Board may postpone, reschedule or cancel any previously scheduled annual meeting.</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Special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Special meetings of stockholders may be called only by such persons and only in such manner as set forth in the Certificate of Incorporation.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business may be transacted at any special meeting of stockholders other than the business specified in the notice of such meeting. The Board may postpone, reschedule or cancel any previously scheduled special meeting of stockholders.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Notice of Business to be Brought Before a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At an annual meeting, only such business shall be conducted as shall have been properly brought before the meeting. To be properly brought before an annual meeting, business must be (i) specified in a notice of meeting given by or at the direction of the Board, (ii) if not specified in a notice of meeting, otherwise brought before the meeting by or at the direction of the Board or the person presiding over the meeting (the “</w:t>
      </w:r>
      <w:r>
        <w:rPr>
          <w:rFonts w:ascii="Times New Roman" w:cs="Times New Roman" w:eastAsia="Times New Roman" w:hAnsi="Times New Roman"/>
          <w:sz w:val="18"/>
          <w:szCs w:val="18"/>
          <w:u w:val="single" w:color="auto"/>
          <w:color w:val="auto"/>
        </w:rPr>
        <w:t>Meeting Chairperson</w:t>
      </w:r>
      <w:r>
        <w:rPr>
          <w:rFonts w:ascii="Times New Roman" w:cs="Times New Roman" w:eastAsia="Times New Roman" w:hAnsi="Times New Roman"/>
          <w:sz w:val="18"/>
          <w:szCs w:val="18"/>
          <w:color w:val="auto"/>
        </w:rPr>
        <w:t>”) or</w:t>
      </w:r>
    </w:p>
    <w:p>
      <w:pPr>
        <w:spacing w:after="0" w:line="1" w:lineRule="exact"/>
        <w:rPr>
          <w:sz w:val="20"/>
          <w:szCs w:val="20"/>
          <w:color w:val="auto"/>
        </w:rPr>
      </w:pPr>
    </w:p>
    <w:p>
      <w:pPr>
        <w:jc w:val="both"/>
        <w:ind w:firstLine="8"/>
        <w:spacing w:after="0" w:line="251" w:lineRule="auto"/>
        <w:tabs>
          <w:tab w:leader="none" w:pos="3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a stockholder present in person who (A) (1) was a record owner of shares of capital stock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foregoing clause (iii) shall be the exclusive means for a stockholder to propose business to be brought before an annual meeting. The only matters that may be brought before a special meeting are the matters specified in the notice of meeting given by or at the direction of the person calling the meeting pursuant to Section 2.7, and stockholders shall not be permitted to propose business to be brought before a special meeting of the stockholders. For purposes of this Section 2.4, “present in person” shall mean that the stockholder proposing that the business be brought before the annual meeting, or a qualified representative of such proposing stockholder, appear at such annual meeting, either in person or by means of remote communication.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Stockholders seeking to nominate persons for election to the Board must comply with Section 2.5 and Section 2.6 and this Section 2.4 shall not be applicable to nominations for election to the Board except as expressly provided in Section 2.5 and Section 2.6.</w:t>
      </w:r>
    </w:p>
    <w:p>
      <w:pPr>
        <w:spacing w:after="0" w:line="190" w:lineRule="exact"/>
        <w:rPr>
          <w:rFonts w:ascii="Times New Roman" w:cs="Times New Roman" w:eastAsia="Times New Roman" w:hAnsi="Times New Roman"/>
          <w:sz w:val="18"/>
          <w:szCs w:val="18"/>
          <w:color w:val="auto"/>
        </w:rPr>
      </w:pPr>
    </w:p>
    <w:p>
      <w:pPr>
        <w:jc w:val="both"/>
        <w:ind w:firstLine="656"/>
        <w:spacing w:after="0" w:line="225" w:lineRule="auto"/>
        <w:tabs>
          <w:tab w:leader="none" w:pos="13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for business to be properly brought before an annual meeting,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at, the principal executive offices of the Corporation, in each case addressed to the attention of the Secretary of the Corporation,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more than the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and not later than (i)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annual meeting, or (ii) if later,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disclosure of the date of such annual meeting was first made by the Corporation (such notice within such time periods,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2.4, a stockholder’s notice to the Secretary shall set forth: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304"/>
        <w:spacing w:after="0" w:line="255" w:lineRule="auto"/>
        <w:tabs>
          <w:tab w:leader="none" w:pos="18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(B) the class or series and number of shares of capital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capital stock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18"/>
          <w:szCs w:val="18"/>
          <w:u w:val="single" w:color="auto"/>
          <w:color w:val="auto"/>
        </w:rPr>
        <w:t>Stockholder Information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w:t>
      </w:r>
    </w:p>
    <w:p>
      <w:pPr>
        <w:spacing w:after="0" w:line="225" w:lineRule="exact"/>
        <w:rPr>
          <w:sz w:val="20"/>
          <w:szCs w:val="20"/>
          <w:color w:val="auto"/>
        </w:rPr>
      </w:pPr>
    </w:p>
    <w:p>
      <w:pPr>
        <w:jc w:val="both"/>
        <w:ind w:left="660" w:firstLine="644"/>
        <w:spacing w:after="0" w:line="258" w:lineRule="auto"/>
        <w:tabs>
          <w:tab w:leader="none" w:pos="160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capital stock of the Corporation (“</w:t>
      </w:r>
      <w:r>
        <w:rPr>
          <w:rFonts w:ascii="Times New Roman" w:cs="Times New Roman" w:eastAsia="Times New Roman" w:hAnsi="Times New Roman"/>
          <w:sz w:val="18"/>
          <w:szCs w:val="18"/>
          <w:u w:val="single" w:color="auto"/>
          <w:color w:val="auto"/>
        </w:rPr>
        <w:t>Synthetic Equity Position</w:t>
      </w:r>
      <w:r>
        <w:rPr>
          <w:rFonts w:ascii="Times New Roman" w:cs="Times New Roman" w:eastAsia="Times New Roman" w:hAnsi="Times New Roman"/>
          <w:sz w:val="18"/>
          <w:szCs w:val="18"/>
          <w:color w:val="auto"/>
        </w:rPr>
        <w:t>”) that is, directly or indirectly, held or maintained by, held for the benefit of, or involving such Proposing Person, including, without limitation,</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convertible security, stock appreciation right, future or similar right with an exercise or conversion privilege or a settlement payment or mechanism at a price related to any class or series of shares of capital stock of the Corporation or with a value derived in whole or in part from the value of any shares of any class or series of shares of capital stock of the Corporation,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0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or synthetic arrangement having the characteristics of a long position or a short position in any class or series of shares of capital stock of the Corporation, including, without limitation, a stock loan transaction, a stock borrow transaction, or a share repurchase transaction or</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derivative, swap or other transaction or series of transactions designed to</w:t>
      </w:r>
    </w:p>
    <w:p>
      <w:pPr>
        <w:spacing w:after="0" w:line="225" w:lineRule="exact"/>
        <w:rPr>
          <w:rFonts w:ascii="Times New Roman" w:cs="Times New Roman" w:eastAsia="Times New Roman" w:hAnsi="Times New Roman"/>
          <w:sz w:val="18"/>
          <w:szCs w:val="18"/>
          <w:color w:val="auto"/>
        </w:rPr>
      </w:pPr>
    </w:p>
    <w:p>
      <w:pPr>
        <w:ind w:left="1960" w:firstLine="640"/>
        <w:spacing w:after="0" w:line="282" w:lineRule="auto"/>
        <w:tabs>
          <w:tab w:leader="none" w:pos="287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economic benefits and risks that correspond substantially to the ownership of any class or series of shares of capital stock of the Corporation,</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73"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any loss relating to, reduce the economic risk (of ownership or otherwise) of, or manage the risk of share price decrease in, any class or series of shares of capital stock of the Corporation, or</w:t>
      </w:r>
    </w:p>
    <w:p>
      <w:pPr>
        <w:spacing w:after="0" w:line="161" w:lineRule="exact"/>
        <w:rPr>
          <w:rFonts w:ascii="Times New Roman" w:cs="Times New Roman" w:eastAsia="Times New Roman" w:hAnsi="Times New Roman"/>
          <w:sz w:val="18"/>
          <w:szCs w:val="18"/>
          <w:color w:val="auto"/>
        </w:rPr>
      </w:pPr>
    </w:p>
    <w:p>
      <w:pPr>
        <w:ind w:left="1960" w:firstLine="640"/>
        <w:spacing w:after="0" w:line="282" w:lineRule="auto"/>
        <w:tabs>
          <w:tab w:leader="none" w:pos="2862"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voting power in respect of any class or series of shares of capital stock of the Corporation held or maintained by, held for the benefit of, or involving such Proposing Person,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including, without limitation, due to the fact that the value of such contract, derivative, swap or other transaction or series of transactions is determined by reference to the price, value or volatility of any class or series of shares of capital stock of the Corporation, whether or not such instrument, contract or right shall be subject to settlement in the underlying class or series of shares of capital stock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shares of any class or series of shares of capital stock of the Corporation;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purposes of the definition of “Synthetic Equity Position,” the term “derivative security” shall also include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underly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w:t>
      </w:r>
    </w:p>
    <w:p>
      <w:pPr>
        <w:spacing w:after="0" w:line="187" w:lineRule="exact"/>
        <w:rPr>
          <w:sz w:val="20"/>
          <w:szCs w:val="20"/>
          <w:color w:val="auto"/>
        </w:rPr>
      </w:pPr>
    </w:p>
    <w:p>
      <w:pPr>
        <w:jc w:val="both"/>
        <w:ind w:firstLine="644"/>
        <w:spacing w:after="0" w:line="266" w:lineRule="auto"/>
        <w:tabs>
          <w:tab w:leader="none" w:pos="9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any rights to dividends on the shares of any class or series of shares of capital stock of the Corporation owned beneficially by such Proposing Person that are separated or separable pursuant to such agreement, arrangement or understanding from the underlying shares of capital stock of the Corporation,</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legal proceeding in which such Proposing Person is a party or material participant involving the Corporation or any of its officers or directors, or any affiliate of the Corporation,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9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relationship between such Proposing Person, on the one hand, and the Corporation or any affiliate of the Corporation, on the other hand,</w:t>
      </w:r>
    </w:p>
    <w:p>
      <w:pPr>
        <w:spacing w:after="0" w:line="377" w:lineRule="exact"/>
        <w:rPr>
          <w:rFonts w:ascii="Times New Roman" w:cs="Times New Roman" w:eastAsia="Times New Roman" w:hAnsi="Times New Roman"/>
          <w:sz w:val="18"/>
          <w:szCs w:val="18"/>
          <w:color w:val="auto"/>
        </w:rPr>
      </w:pPr>
    </w:p>
    <w:p>
      <w:pPr>
        <w:ind w:firstLine="644"/>
        <w:spacing w:after="0" w:line="282" w:lineRule="auto"/>
        <w:tabs>
          <w:tab w:leader="none" w:pos="9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material interest in any material contract or agreement of such Proposing Person with the Corporation or any affiliate of the Corporation (including, in any such case, any employment agreement, collective bargaining agreement or consulting agreement) ,</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shares of capital stock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9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such Proposing Person intends or is part of a group that intends to deliver a proxy statement and/or form of proxy to holders of at least the percentage of the Corporation’s outstanding capital stock required to approve or adopt the proposal or otherwise solicit proxies or votes from stockholders in support of such proposal and</w:t>
      </w:r>
    </w:p>
    <w:p>
      <w:pPr>
        <w:spacing w:after="0" w:line="3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2" w:name="page23"/>
    <w:bookmarkEnd w:id="22"/>
    <w:p>
      <w:pPr>
        <w:jc w:val="both"/>
        <w:ind w:left="660" w:firstLine="644"/>
        <w:spacing w:after="0" w:line="266" w:lineRule="auto"/>
        <w:tabs>
          <w:tab w:leader="none" w:pos="1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w:t>
      </w:r>
    </w:p>
    <w:p>
      <w:pPr>
        <w:spacing w:after="0" w:line="176" w:lineRule="exact"/>
        <w:rPr>
          <w:sz w:val="20"/>
          <w:szCs w:val="20"/>
          <w:color w:val="auto"/>
        </w:rPr>
      </w:pPr>
    </w:p>
    <w:p>
      <w:pPr>
        <w:jc w:val="both"/>
        <w:ind w:firstLine="700"/>
        <w:spacing w:after="0" w:line="261" w:lineRule="auto"/>
        <w:rPr>
          <w:sz w:val="20"/>
          <w:szCs w:val="20"/>
          <w:color w:val="auto"/>
        </w:rPr>
      </w:pPr>
      <w:r>
        <w:rPr>
          <w:rFonts w:ascii="Times New Roman" w:cs="Times New Roman" w:eastAsia="Times New Roman" w:hAnsi="Times New Roman"/>
          <w:sz w:val="18"/>
          <w:szCs w:val="18"/>
          <w:color w:val="auto"/>
        </w:rPr>
        <w:t>(the disclosures to be made pursuant to the foregoing clauses (A) through (H) are referred to as “</w:t>
      </w:r>
      <w:r>
        <w:rPr>
          <w:rFonts w:ascii="Times New Roman" w:cs="Times New Roman" w:eastAsia="Times New Roman" w:hAnsi="Times New Roman"/>
          <w:sz w:val="18"/>
          <w:szCs w:val="18"/>
          <w:u w:val="single" w:color="auto"/>
          <w:color w:val="auto"/>
        </w:rPr>
        <w:t>Disclosable Interests</w:t>
      </w:r>
      <w:r>
        <w:rPr>
          <w:rFonts w:ascii="Times New Roman" w:cs="Times New Roman" w:eastAsia="Times New Roman" w:hAnsi="Times New Roman"/>
          <w:sz w:val="18"/>
          <w:szCs w:val="18"/>
          <w:color w:val="auto"/>
        </w:rPr>
        <w:t>”);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80" w:lineRule="exact"/>
        <w:rPr>
          <w:sz w:val="20"/>
          <w:szCs w:val="20"/>
          <w:color w:val="auto"/>
        </w:rPr>
      </w:pPr>
    </w:p>
    <w:p>
      <w:pPr>
        <w:jc w:val="both"/>
        <w:ind w:firstLine="1304"/>
        <w:spacing w:after="0" w:line="253" w:lineRule="auto"/>
        <w:tabs>
          <w:tab w:leader="none" w:pos="20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record or beneficial holder(s) or persons(s) who have a right to acquire beneficial ownership at any time in the future of the shares of any class or series of capital stock of the Corporation or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2.4,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right="20" w:firstLine="656"/>
        <w:spacing w:after="0" w:line="282" w:lineRule="auto"/>
        <w:tabs>
          <w:tab w:leader="none" w:pos="132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Proposing Person furnish such additional information as may be reasonably required by the Board. Such Proposing Person shall provide such additional information within ten (10) days after it has been requested by the Board.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656"/>
        <w:spacing w:after="0" w:line="253" w:lineRule="auto"/>
        <w:tabs>
          <w:tab w:leader="none" w:pos="13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6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these bylaws to the contrary, no business shall be conducted at an annual meeting that is not properly brought before the meeting in accordance with this Section 2.4. The Meeting Chairperson (or, in advance of any meeting of stockholders, the Board of Directors or an authorized committee thereof) shall, if the facts warrant, determine that the business was not properly brought before the meeting in accordance with this Section 2.4, and if the Meeting Chairperson should so determine, the Meeting Chairperson shall so declare to the meeting and any such business not properly brought before the meeting shall not be transacted.</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2.4 is expressly intended to apply to any business proposed to be brought before an annual meeting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4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37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u w:val="single" w:color="auto"/>
          <w:color w:val="auto"/>
        </w:rPr>
        <w:t>Notice of Nominations for Election to the Board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(i) by or at the direction of the Board, including by any committee or persons authorized to do so by the Board or these bylaws, or (ii) by a stockholder present in person who (A) was a record owner of shares of capital stock of the Corporation both at the time of giving the notice provided for in this Section 2.5 and at the time of the meeting, (B) is entitled to vote at the meeting, and (C) has complied with this Section 2.5 and Section 2.6 as to such notice and nomination. For purposes of this Section 2.5, “</w:t>
      </w:r>
      <w:r>
        <w:rPr>
          <w:rFonts w:ascii="Times New Roman" w:cs="Times New Roman" w:eastAsia="Times New Roman" w:hAnsi="Times New Roman"/>
          <w:sz w:val="18"/>
          <w:szCs w:val="18"/>
          <w:u w:val="single" w:color="auto"/>
          <w:color w:val="auto"/>
        </w:rPr>
        <w:t>present in person</w:t>
      </w:r>
      <w:r>
        <w:rPr>
          <w:rFonts w:ascii="Times New Roman" w:cs="Times New Roman" w:eastAsia="Times New Roman" w:hAnsi="Times New Roman"/>
          <w:sz w:val="18"/>
          <w:szCs w:val="18"/>
          <w:color w:val="auto"/>
        </w:rPr>
        <w:t>” shall mean that the stockholder nominating any person for election to the Board at the meeting of the Corporation, or a qualified representative of such stockholder, appear at such meeting, either in person or by means of remote communication. A “</w:t>
      </w:r>
      <w:r>
        <w:rPr>
          <w:rFonts w:ascii="Times New Roman" w:cs="Times New Roman" w:eastAsia="Times New Roman" w:hAnsi="Times New Roman"/>
          <w:sz w:val="18"/>
          <w:szCs w:val="18"/>
          <w:u w:val="single" w:color="auto"/>
          <w:color w:val="auto"/>
        </w:rPr>
        <w:t>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or before the meeting of stockholders in writing or by electronic transmission. The foregoing clause (ii) shall be the exclusive means for a stockholder to make any nomination of a person or persons for election to the Board at an annual meeting or special meeting.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56"/>
        <w:spacing w:after="0" w:line="258" w:lineRule="auto"/>
        <w:tabs>
          <w:tab w:leader="none" w:pos="12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Without qualification, for a stockholder to make any nomination of a person or persons for election to the Board at an annual meeting, the stockholder must (1) provide Timely Notice (as defined in Section 2.4) thereof in writing and in proper form to the Secretary of the Corporation, (2) provide the information, agreements and questionnaires with respect to each Nominating Person (as defined below)and its candidate for nomination as required to be set forth by this Section 2.5 and Section 2.6 and (3) provide any updates or supplements to such notice at the times and in the forms required by this Section 2.5 and Section 2.6.</w:t>
      </w:r>
    </w:p>
    <w:p>
      <w:pPr>
        <w:spacing w:after="0" w:line="183" w:lineRule="exact"/>
        <w:rPr>
          <w:rFonts w:ascii="Times New Roman" w:cs="Times New Roman" w:eastAsia="Times New Roman" w:hAnsi="Times New Roman"/>
          <w:sz w:val="18"/>
          <w:szCs w:val="18"/>
          <w:color w:val="auto"/>
        </w:rPr>
      </w:pPr>
    </w:p>
    <w:p>
      <w:pPr>
        <w:jc w:val="both"/>
        <w:ind w:firstLine="1304"/>
        <w:spacing w:after="0" w:line="225" w:lineRule="auto"/>
        <w:tabs>
          <w:tab w:leader="none" w:pos="199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(i) provide timely notice thereof in writing and in proper form to the Secretary of the Corporation at the principal executive offices of the Corporation, (ii) provide the information with respect to each Nominating Person and its candidate for nomination as required by this Section 2.5 and Section 2.6 and (iii)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in each case addressed to the attention of the Secretary of the Corporation, not earlier than the one hundred twentieth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special meeting and not later than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prior to such special meeting or, if later,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the day on which public disclosure (as defined in Section 2.4) of the date of such special meeting was first made (such notice within such time periods, “</w:t>
      </w:r>
      <w:r>
        <w:rPr>
          <w:rFonts w:ascii="Times New Roman" w:cs="Times New Roman" w:eastAsia="Times New Roman" w:hAnsi="Times New Roman"/>
          <w:sz w:val="18"/>
          <w:szCs w:val="18"/>
          <w:u w:val="single" w:color="auto"/>
          <w:color w:val="auto"/>
        </w:rPr>
        <w:t>Special Meeting Timely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ind w:firstLine="1304"/>
        <w:spacing w:after="0" w:line="282" w:lineRule="auto"/>
        <w:tabs>
          <w:tab w:leader="none" w:pos="210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or postponement of an annual meeting or special meeting or the announcement thereof commence a new time period (or extend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 Nominating Person deliver a notice of nomination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or Special Meeting Timely Notice, as applicable, or, (ii) the tenth day following the date of public disclosure (as defined in Section 2.4) of such increase.</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form for purposes of this Section 2.5,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the Stockholder Information (as defined in Section 2.4(c)(i), except that 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be substituted for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in all places it appears in Section 2.4(c)(i));</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Nominating Person, any Disclosable Interests (as defined in Section 2.4(c)(ii), except that 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be substituted for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in all places it appears in Section 2.4(c)(ii) and the disclosure with respect to the business to be brought before the meeting in Section 2.4(c)(ii) shall be made with respect to the nomination proposed to be made at the meeting); and provided that, in lieu of including the information set forth in Section 2.4(c)(ii)(G), the Nominating Person’s notice for purposes of this Section 2.5 shall include a representation as to whether the Nominating Person intends or is part of a group that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1304"/>
        <w:spacing w:after="0" w:line="253" w:lineRule="auto"/>
        <w:tabs>
          <w:tab w:leader="none" w:pos="19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 accompanying proxy card relating to the Corporation’s next meeting of stockholders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(as defined in Rule 14a-1(a) promulgated under the Exchange Act) or any other participants (as defined in paragraphs (a)(ii)-(vi) of Instruction 3 to Item 4 of Schedule 14A)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and (B) are referred to as “</w:t>
      </w:r>
      <w:r>
        <w:rPr>
          <w:rFonts w:ascii="Times New Roman" w:cs="Times New Roman" w:eastAsia="Times New Roman" w:hAnsi="Times New Roman"/>
          <w:sz w:val="18"/>
          <w:szCs w:val="18"/>
          <w:u w:val="single" w:color="auto"/>
          <w:color w:val="auto"/>
        </w:rPr>
        <w:t>Nominee Information</w:t>
      </w:r>
      <w:r>
        <w:rPr>
          <w:rFonts w:ascii="Times New Roman" w:cs="Times New Roman" w:eastAsia="Times New Roman" w:hAnsi="Times New Roman"/>
          <w:sz w:val="18"/>
          <w:szCs w:val="18"/>
          <w:color w:val="auto"/>
        </w:rPr>
        <w:t>”), and (C) a completed and signed questionnaire, representation and agreement as provided in Section 2.6(a).</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Section 2.5, the term “</w:t>
      </w:r>
      <w:r>
        <w:rPr>
          <w:rFonts w:ascii="Times New Roman" w:cs="Times New Roman" w:eastAsia="Times New Roman" w:hAnsi="Times New Roman"/>
          <w:sz w:val="18"/>
          <w:szCs w:val="18"/>
          <w:u w:val="single" w:color="auto"/>
          <w:color w:val="auto"/>
        </w:rPr>
        <w:t>Nominating Person</w:t>
      </w:r>
      <w:r>
        <w:rPr>
          <w:rFonts w:ascii="Times New Roman" w:cs="Times New Roman" w:eastAsia="Times New Roman" w:hAnsi="Times New Roman"/>
          <w:sz w:val="18"/>
          <w:szCs w:val="18"/>
          <w:color w:val="auto"/>
        </w:rPr>
        <w:t>”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180" w:lineRule="exact"/>
        <w:rPr>
          <w:sz w:val="20"/>
          <w:szCs w:val="20"/>
          <w:color w:val="auto"/>
        </w:rPr>
      </w:pPr>
    </w:p>
    <w:p>
      <w:pPr>
        <w:ind w:firstLine="656"/>
        <w:spacing w:after="0" w:line="282" w:lineRule="auto"/>
        <w:tabs>
          <w:tab w:leader="none" w:pos="14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any nomination proposed to be made at a meeting shall further update and supplement such notice or the materials delivered pursuant to this Section 2.5, as applicable,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656"/>
        <w:spacing w:after="0" w:line="252" w:lineRule="auto"/>
        <w:tabs>
          <w:tab w:leader="none" w:pos="132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or is part of a group that has, complied with Rule 14a-19 promulgated under the Exchange Act in connection with the solicitation of such proxies, including the provision to the Corporation of notices required thereunder in accordance with the time frames required in this Section 2.5 or by Rule 14a-19 promulgated under the Exchange Act, as applicable, and (ii) if (1) any Nominating Person provides notice in accordance with Rule 14a-19(b) promulgated under the Exchange Act and (2) (x) such notice in accordance with Rule 14a-19(b) is not provided within the time period for Timely Notice or Special Meeting Timely Notice, as applicable, (y) such Nominating Person subsequently fails to comply with the requirements of Rule 14a-19(a)(2) or Rule 14a-19(a)(3) promulgated under the Exchange Act or (z) such Nominating Person fails to timely provide reasonable evidence sufficient to satisfy the Corporation that such Nominating Person has met the requirements of Rule 14a-19(a)(3) promulgated under the Exchange Act in accordance with the following sentence, then the nomination of such Nominating Person’s proposed nominees shall be disregarded, notwithstanding that each such nominee is included as a nominee in the Corporation’s proxy statement, notice of meeting or other proxy materials for any meeting of stockholders (or any supplement thereto) and notwithstanding that proxies or votes in respect of the election of such proposed nominees may have been received by the Corporation (which proxies and votes shall be disregarded). If any Nominating Person provides notice in accordance with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9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Additional Requirements for Valid Nomination of Candidates to Serve as Director and, if Elected, to Be Seated as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Section 2.5 and the candidate for nomination, whether nominated by the Board or by a stockholder of record, must have previously delivered, to the Secretary at the principal executive offices of the Corporation, (i) a completed written questionnaire (in the form provided by the Corporation within ten (10) days upon written request of any stockholder of record therefor) with respect to the background, qualifications, stock ownership and independence of such proposed nominee, and (ii) a written representation and agreement (in the form provided by the Corporation within ten (10) days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a director of the Corporation, intends to serve the entire term until the next meeting at which such candidate would face re-election.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656"/>
        <w:spacing w:after="0" w:line="255" w:lineRule="auto"/>
        <w:tabs>
          <w:tab w:leader="none" w:pos="15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also require any proposed candidate for nomination as a director to furnish such other information related to such candidate’s eligibility or qualification to serve as director as may reasonably be requested by the Board in writing prior to the meeting of stockholders at which such candidate’s nomination is to be acted upon. Without limiting the generality of the foregoing, the Board may request such other information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not later than five (5) business days after the request by the Board has been delivered to, or mailed and received by, the Nominating Person.</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4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candidate nominated pursuant to Section 2.5(a)(ii) shall be eligible for nomination as a director of the Corporation unless such candidate for nomination and the Nominating Person seeking to place such candidate’s name in nomination has complied with Section 2.5 and this Section 2.6, as applicable. The Meeting Chairperson shall, if the facts warrant, determine that a nomination was not properly made in accordance with Section 2.5 and this Section 2.6, and if the Meeting Chairperson should so determine, the Meeting Chairperson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in these bylaws to the contrary, no candidate for nomination shall be eligible to be seated as a director of the Corporation unless nominated in accordance with Section 2.5 and this Section 2.6 and elected as a director.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Notice of Stockholders’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of stockholders, the purpose or purposes for which such meeting is called.</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provided by law, the Certificate of Incorporation or these bylaws, the holders of one-third (1/3) in voting power of the stock issued and outstanding and entitled to vote, present in person, or by remote communication, if applicable, or represented by proxy, shall constitute a quorum for the transaction of business at all meetings of stockholders. A quorum, once established at a meeting, shall not be broken by the withdrawal of enough votes to leave less than a quorum. If, however, a quorum is not present or represented at any meeting of stockholders, then either (i) the Meeting Chairperson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2.9 of these bylaws until a quorum is present or represented. At any recessed or adjourned meeting at which a quorum is present or represented, any business may be transacted that might have been transacted at the meeting as originally noticed.</w:t>
      </w:r>
    </w:p>
    <w:p>
      <w:pPr>
        <w:spacing w:after="0" w:line="19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u w:val="single" w:color="auto"/>
          <w:color w:val="auto"/>
        </w:rPr>
        <w:t>Adjourned Meeting;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 if any, by which stockholders and proxy holders may be deemed to be present in person and vote at such adjourned meeting are announced at the meeting at which the adjournment is taken or 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date and time of the opening and the closing of the polls for each matter upon which the stockholders will vote at a meeting shall be announced at the meeting by the Meeting Chairperson. The Board may adopt by resolution such rules and regulations for the conduct of the meeting of stockholders as it shall deem appropriate. Except to the extent inconsistent with such rules and regulations as adopted by the Board, the Meeting Chairperson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Meeting Chairperson, may include, without limitation, the following: (i) the establishment of an agenda or order of business for the meeting; (ii) rules and procedures for maintaining order at the meeting and the safety of those present (including, without limitation, rules and procedures for removal of disruptive persons from the meeting); (iii) limitations on attendance at or participation in the meeting to stockholders entitled to vote at the meeting, their duly authorized and constituted proxies or such other persons as the Meeting Chairperson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Meeting Chairperson),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Meeting Chairperson, meetings of stockholders shall not be required to be held in accordance with the rules of parliamentary procedure.</w:t>
      </w:r>
    </w:p>
    <w:p>
      <w:pPr>
        <w:spacing w:after="0" w:line="19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these bylaws or the DGCL, each stockholder shall be entitled to one (1) vote for each share of capital stock held by such stockholder.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each other matter presented to the stockholders at a duly called or convened meeting at which a quorum is present shall be decided by the affirmative vote of the holders of a majority in voting power of the votes cast (excluding abstentions and broker non-votes) on such matter.</w:t>
      </w:r>
    </w:p>
    <w:p>
      <w:pPr>
        <w:spacing w:after="0" w:line="187"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Record Date for Stockholder Meetings and Other Purposes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days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the close of business on the next day preceding the day on which notice is first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Exchange Act,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stockholder directly or indirectly soliciting proxies from other stockholders must use a proxy card color other than white, which shall be reserved for the exclusive use by the Board.</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Corporation shall prepare, no later than the tenth day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(10) days ending on the day before the meeting date: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9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u w:val="single" w:color="auto"/>
          <w:color w:val="auto"/>
        </w:rPr>
        <w:t>Inspectors of Election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or any alternate fails to appear or fails or refuses to act, then the Meeting Chairperson shall appoint a person to fill that vacancy.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right="20" w:firstLine="1304"/>
        <w:spacing w:after="0" w:line="282" w:lineRule="auto"/>
        <w:tabs>
          <w:tab w:leader="none" w:pos="19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outstanding and the voting power of each, the number of shares represented at the meeting and the validity of any proxies and ballots;</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or ballots;</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and tabulate all votes;</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inspector(s); and</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its or their determination of the number of shares represented at the meeting and its or their count of all votes and ballots.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inspector,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u w:val="single" w:color="auto"/>
          <w:color w:val="auto"/>
        </w:rPr>
        <w:t>Delivery to the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Certificate of Incorporation or the DGCL, the business and affairs of the Corporation shall be managed by or under the direction of the Board.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Number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Certificate of Incorporation, the total number of directors constituting the Board shall be determined from time to time by resolution of the Board. No reduction of the authorized number of directors shall have the effect of removing any director before that director’s term of office expires.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Election, Qualification and Term of Office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The Certificate of Incorporation or these bylaws may prescribe qualifications for directors.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u w:val="single" w:color="auto"/>
          <w:color w:val="auto"/>
        </w:rPr>
        <w:t>Resignation and Vacancies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Section 3.3.</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Place of Meetings; Meetings by Telephone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video conferencing or other communications equipment by means of which all persons participating in the meeting can hear each other, and such participation in a meeting pursuant to this bylaw shall constitute presence in person at the meeting.</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Regular meetings of the Board may be held within or outside the State of Delaware and at such time and at such place as which has been designated by the Board and publicized among all directors, either orally or in writing, by telephone, including a voice-messaging system or other system designed to record and communicate messages, facsimile, telegraph or telex, or by electronic mail or other means of electronic transmission. No further notice shall be required for regular meetings of the Board.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7"/>
          <w:szCs w:val="17"/>
          <w:u w:val="single" w:color="auto"/>
          <w:color w:val="auto"/>
        </w:rPr>
        <w:t>Special Meetings;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Special meetings of the Board for any purpose or purposes may be called at any time by the chairperson of the Board, the Chief Executive Officer, the Secretary or a majority of the total number of directors constituting the Board.</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920" w:hanging="616"/>
        <w:spacing w:after="0"/>
        <w:tabs>
          <w:tab w:leader="none" w:pos="1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electronic mail; or</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other means of electronic transmission,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or other address for electronic transmission, as the case may be, as shown on the Corporation’s records.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or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Board Action Without a Meeting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Fees and Compensation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shall have the authority to fix the compensation, including fees and reimbursement of expenses, of directors for services to the Corporation in any capacity.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Committees of Directors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Committee Minutes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Meetings and Actions of Committees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meetings by telephone);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notice);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(board action without a meeting); and</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7.13 (waiver of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120" w:hanging="816"/>
        <w:spacing w:after="0"/>
        <w:tabs>
          <w:tab w:leader="none" w:pos="2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880" w:hanging="576"/>
        <w:spacing w:after="0"/>
        <w:tabs>
          <w:tab w:leader="none" w:pos="1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or the chairperson of the applicable committee; 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3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Subcommittees.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designating the committee, a committee may create one (1) or more subcommittees, each subcommittee to consist of one (1) or more members of the committee, and delegate to a subcommittee any or all of the powers and authority of the committee.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 - Officers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officers of the Corporation shall include a Chief Executive Officer and a Secretary. The Corporation may also have, at the discretion of the Board, a Chairperson of the Board, a Vice Chairperson of the Board,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or director of the Corporation.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Appointment of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shall appoint the officers of the Corporation, except such officers as may be appointed in accordance with the provisions of Section 5.3 of these bylaws.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Subordinate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appoint, or empower the Chief Executive Officer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Removal and Resignation of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may fill the pending vacancy before the effective date if the Board provides that the successor shall not take office until the effective date. Any resignation is without prejudice to the rights, if any, of the Corporation under any contract to which the officer is a party.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u w:val="single" w:color="auto"/>
          <w:color w:val="auto"/>
        </w:rPr>
        <w:t>Vacancies in Offices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Representation of Shares of Other Corporations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Chairperson of the Board, the Chief Executive Officer, or any other person authorized by the Board or the Chief Executive Officer,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7"/>
          <w:szCs w:val="17"/>
          <w:u w:val="single" w:color="auto"/>
          <w:color w:val="auto"/>
        </w:rPr>
        <w:t>Authority and Duties of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of the officers of the Corporation for their services as such shall be fixed from time to time by or at the direction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officer of the Corporation shall not be prevented from receiving compensation by reason of the fact that he or she is also a director of the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 - Records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500"/>
        <w:spacing w:after="0"/>
        <w:rPr>
          <w:sz w:val="20"/>
          <w:szCs w:val="20"/>
          <w:color w:val="auto"/>
        </w:rPr>
      </w:pPr>
      <w:r>
        <w:rPr>
          <w:rFonts w:ascii="Times New Roman" w:cs="Times New Roman" w:eastAsia="Times New Roman" w:hAnsi="Times New Roman"/>
          <w:sz w:val="18"/>
          <w:szCs w:val="18"/>
          <w:b w:val="1"/>
          <w:bCs w:val="1"/>
          <w:color w:val="auto"/>
        </w:rPr>
        <w:t>Article VII - General Matters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u w:val="single" w:color="auto"/>
          <w:color w:val="auto"/>
        </w:rPr>
        <w:t>Execution of Corporate Contracts and Instruments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Uncertificated Shares; Stock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provided by resolution of the Board, the shares of capital stock of the Corporation shall be issued in uncertificated form. The Corporation may adopt a system of issuance, recordation and transfer of its shares of stock by electronic or other means not involving the issuance of certificates, provided the use of such system by the Corporation is permitted in accordance with applicable law. If shares are represented by certificates, the certificates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or Vice Chairperson of the Board, Chief Executive Officer, any Vice President, the Treasurer, any Assistant Treasurer, the Secretary or any Assistant Secretary of the Corporation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issue the whole or any part of its shares as partly paid and subject to call for the remainder of the consideration to be paid therefor. Upon the books and records of the Corporation (or on the face or back of any stock certificate issued to represent any such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Special Designation of Certificates.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a notice provided pursuant to Section 151 of the DGCL (or, in the case of certificated shares, shall be set forth in full or summarized on the face or on the back of the certificate that the Corporation shall issue to represent such class or series of stock); provided, however, that except as otherwise provided in Section 202 of the DGCL, in lieu of the foregoing requirements, there may be included in the aforementioned notice (or, in the case of any certificated shares,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Lost Certificates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u w:val="single" w:color="auto"/>
          <w:color w:val="auto"/>
        </w:rPr>
        <w:t>Construction; Definitions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7"/>
          <w:szCs w:val="17"/>
          <w:u w:val="single" w:color="auto"/>
          <w:color w:val="auto"/>
        </w:rPr>
        <w:t>Seal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7"/>
          <w:szCs w:val="17"/>
          <w:u w:val="single" w:color="auto"/>
          <w:color w:val="auto"/>
        </w:rPr>
        <w:t>Transfer of Stock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u w:val="single" w:color="auto"/>
          <w:color w:val="auto"/>
        </w:rPr>
        <w:t>Stock Transfer Agreements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owned by such stockholders in any manner not prohibited by the DGCL.</w:t>
      </w:r>
    </w:p>
    <w:p>
      <w:pPr>
        <w:spacing w:after="0" w:line="176"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7"/>
          <w:szCs w:val="17"/>
          <w:u w:val="single" w:color="auto"/>
          <w:color w:val="auto"/>
        </w:rPr>
        <w:t>Registered Stockholders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firstLine="1304"/>
        <w:spacing w:after="0" w:line="282" w:lineRule="auto"/>
        <w:tabs>
          <w:tab w:leader="none" w:pos="182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62"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VIII - Notice</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Delivery of Notice; Notice by Electronic Transmission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Notwithstanding the provisions of this paragraph, the Corporation may give a notice by electronic mail in accordance with the first paragraph of this section without obtaining the consent required by this paragraph.</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notice may not be given by an electronic transmission from and after the time that (1) the Corporation is unable to deliver by such electronic transmission two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affidavit of the Secretary or an Assistant Secretary or of the transfer agent or other agent of the Corporation that the notice has been given shall, in the absence of fraud, be prima facie evidence of the facts stated therein.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 - Indemnification</w:t>
      </w:r>
    </w:p>
    <w:p>
      <w:pPr>
        <w:spacing w:after="0" w:line="22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u w:val="single" w:color="auto"/>
          <w:color w:val="auto"/>
        </w:rPr>
        <w:t>Indemnification of Directors and Officers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Corporation shall indemnify and hold harmless, to the fullest extent permitted by the DGCL as it presently exists or may hereafter be amended, any director or officer of the Corporation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covered person in connection with a Proceeding initiated by such covered person only if the Proceeding was authorized in the specific case by the Board.</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Indemnification of Others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7"/>
          <w:szCs w:val="17"/>
          <w:u w:val="single" w:color="auto"/>
          <w:color w:val="auto"/>
        </w:rPr>
        <w:t>Prepayment of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provided, however, that such payment of expenses in advance of the final disposition of the Proceeding shall be made only upon receipt of an undertaking by the covered person to repay all amounts advanced if it should be ultimately determined that the person is not entitled to be indemnified under this Article IX or otherwise.</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Determination; Claim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u w:val="single" w:color="auto"/>
          <w:color w:val="auto"/>
        </w:rPr>
        <w:t>Other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u w:val="single" w:color="auto"/>
          <w:color w:val="auto"/>
        </w:rPr>
        <w:t>Continuation of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7"/>
          <w:szCs w:val="17"/>
          <w:u w:val="single" w:color="auto"/>
          <w:color w:val="auto"/>
        </w:rPr>
        <w:t>Amendment or Repeal; Interpretation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reference to an officer of the Corporation in this Article IX shall be deemed to refer exclusively to the Chief Executive Officer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is expressly empowered to adopt, amend or repeal the bylaws of the Corporation. The stockholders also shall have power to adopt, amend or repeal the bylaws of the Corporation; provided, however, that such action by stockholders shall require, in addition to any other vote required by the Certificate of Incorporation or applicable law, the affirmative vote of the holders of at least two-thirds of the voting power of all the then outstanding shares of voting stock of the Corporation entitled to vote generally in an election of directors, voting together as a single class.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Article XI - Forum Selection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(a) the Court of Chancery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or officer of the Corporation to the Corporation or to the Corporation’s stockholders, (iii) any action, suit or proceeding arising pursuant to any provision of the DGCL or the Certificate of Incorporation or these bylaws (as either may be amended from time to time) or (iv) any action, suit or proceeding asserting a claim against the Corporation governed by the internal affairs doctrine; and (b) subject to the preceding provisions of this Article XI, the federal district courts of the United States of America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18"/>
          <w:szCs w:val="18"/>
          <w:u w:val="single" w:color="auto"/>
          <w:color w:val="auto"/>
        </w:rPr>
        <w:t>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security of the Corporation shall be deemed to have notice of and consented to this Article XI. This Article XI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Exchange Act or any other claim for which the federal courts of the United States have exclusive jurisdiction.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Article XII -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these bylaws, unless the context otherwise requires, the following terms shall have the following meanings: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w:t>
      </w:r>
      <w:r>
        <w:rPr>
          <w:rFonts w:ascii="Times New Roman" w:cs="Times New Roman" w:eastAsia="Times New Roman" w:hAnsi="Times New Roman"/>
          <w:sz w:val="18"/>
          <w:szCs w:val="18"/>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electronic mail address</w:t>
      </w:r>
      <w:r>
        <w:rPr>
          <w:rFonts w:ascii="Times New Roman" w:cs="Times New Roman" w:eastAsia="Times New Roman" w:hAnsi="Times New Roman"/>
          <w:sz w:val="18"/>
          <w:szCs w:val="18"/>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76" w:lineRule="exact"/>
        <w:rPr>
          <w:sz w:val="20"/>
          <w:szCs w:val="20"/>
          <w:color w:val="auto"/>
        </w:rPr>
      </w:pPr>
    </w:p>
    <w:p>
      <w:pPr>
        <w:jc w:val="both"/>
        <w:ind w:firstLine="708"/>
        <w:spacing w:after="0" w:line="26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457835</wp:posOffset>
            </wp:positionV>
            <wp:extent cx="216027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1602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atai Life Sciences 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Industrious NYC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West 34th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10119</w:t>
      </w:r>
    </w:p>
    <w:p>
      <w:pPr>
        <w:spacing w:after="0" w:line="207" w:lineRule="exact"/>
        <w:rPr>
          <w:sz w:val="20"/>
          <w:szCs w:val="20"/>
          <w:color w:val="auto"/>
        </w:rPr>
      </w:pPr>
    </w:p>
    <w:p>
      <w:pPr>
        <w:ind w:left="1720" w:right="720" w:hanging="420"/>
        <w:spacing w:after="0" w:line="282" w:lineRule="auto"/>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AtaiBeckley Inc. Post-Effective Amendment No.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 Registration Statement on Form S-8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10020-1401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+1.212.906.1200 Fax: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+1.212.751.4864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www.lw.com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2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Milan</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Paris</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Riyadh</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Düsseldorf</w:t>
      </w:r>
      <w:r>
        <w:rPr>
          <w:sz w:val="20"/>
          <w:szCs w:val="20"/>
          <w:color w:val="auto"/>
        </w:rPr>
        <w:tab/>
      </w:r>
      <w:r>
        <w:rPr>
          <w:rFonts w:ascii="Times New Roman" w:cs="Times New Roman" w:eastAsia="Times New Roman" w:hAnsi="Times New Roman"/>
          <w:sz w:val="18"/>
          <w:szCs w:val="18"/>
          <w:color w:val="auto"/>
        </w:rPr>
        <w:t>San Diego</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San Francisco</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Seoul</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Silicon Valley</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Tel Avivh</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7"/>
          <w:szCs w:val="17"/>
          <w:color w:val="auto"/>
        </w:rPr>
        <w:t>Tokyo</w:t>
      </w:r>
    </w:p>
    <w:p>
      <w:pPr>
        <w:spacing w:after="0" w:line="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Madrid</w:t>
      </w:r>
      <w:r>
        <w:rPr>
          <w:sz w:val="20"/>
          <w:szCs w:val="20"/>
          <w:color w:val="auto"/>
        </w:rPr>
        <w:tab/>
      </w:r>
      <w:r>
        <w:rPr>
          <w:rFonts w:ascii="Times New Roman" w:cs="Times New Roman" w:eastAsia="Times New Roman" w:hAnsi="Times New Roman"/>
          <w:sz w:val="18"/>
          <w:szCs w:val="18"/>
          <w:color w:val="auto"/>
        </w:rPr>
        <w:t>Washington, D.C</w:t>
      </w:r>
    </w:p>
    <w:p>
      <w:pPr>
        <w:spacing w:after="0" w:line="2125" w:lineRule="exact"/>
        <w:rPr>
          <w:sz w:val="20"/>
          <w:szCs w:val="20"/>
          <w:color w:val="auto"/>
        </w:rPr>
      </w:pPr>
    </w:p>
    <w:p>
      <w:pPr>
        <w:sectPr>
          <w:pgSz w:w="11900" w:h="16838" w:orient="portrait"/>
          <w:cols w:equalWidth="0" w:num="2">
            <w:col w:w="6040" w:space="720"/>
            <w:col w:w="4480"/>
          </w:cols>
          <w:pgMar w:left="320" w:top="266" w:right="339" w:bottom="1440" w:gutter="0" w:footer="0" w:header="0"/>
        </w:sectPr>
      </w:pPr>
    </w:p>
    <w:p>
      <w:pPr>
        <w:spacing w:after="0" w:line="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AtaiBeckley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filing on the date hereof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Post-Effective Amendment No. 1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registration statement on Form S-8 (Registration No. 333-257482), previously filed by Atai Beckley N.V. (f/k/a atai Life Sciences N.V.), a Dutch public company (“</w:t>
      </w:r>
      <w:r>
        <w:rPr>
          <w:rFonts w:ascii="Times New Roman" w:cs="Times New Roman" w:eastAsia="Times New Roman" w:hAnsi="Times New Roman"/>
          <w:sz w:val="18"/>
          <w:szCs w:val="18"/>
          <w:u w:val="single" w:color="auto"/>
          <w:color w:val="auto"/>
        </w:rPr>
        <w:t>atai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Netherlands</w:t>
      </w:r>
      <w:r>
        <w:rPr>
          <w:rFonts w:ascii="Times New Roman" w:cs="Times New Roman" w:eastAsia="Times New Roman" w:hAnsi="Times New Roman"/>
          <w:sz w:val="18"/>
          <w:szCs w:val="18"/>
          <w:color w:val="auto"/>
        </w:rPr>
        <w:t>”), (succeeded by merger by atai Life Sciences Luxembourg S.A., a Luxembourg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atai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LuxCo</w:t>
      </w:r>
      <w:r>
        <w:rPr>
          <w:rFonts w:ascii="Times New Roman" w:cs="Times New Roman" w:eastAsia="Times New Roman" w:hAnsi="Times New Roman"/>
          <w:sz w:val="18"/>
          <w:szCs w:val="18"/>
          <w:color w:val="auto"/>
        </w:rPr>
        <w:t>”) and further succeeded by conversion by the Company) and the Company’s predecessor, with respect to the adoption of such registration statement by the Company pursuant to Rule 414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registration statement on Form S-8, as amended by the Amendment, is referred to herein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connection with such representation, the Company has advised us that shares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$0.01 per share, of the Company may be issuable or become issuable pursuant to grants or awards under the employee plans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December 30,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7447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1474470" cy="18859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for your benefit in connection with the Amendment and may be relied upon by you and by persons entitled to rely upon it pursuant to the applicable provisions of the Act. We consent to your filing this opinion as an exhibit to the Amendment. In giving such consent, we do not thereby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December 30, 2025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7447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1474470" cy="1885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Plans</w:t>
      </w:r>
    </w:p>
    <w:p>
      <w:pPr>
        <w:spacing w:after="0" w:line="229"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atai Life Sciences 2021 Incentive Award Plan, as amended on December 30, 2025</w:t>
      </w:r>
    </w:p>
    <w:p>
      <w:pPr>
        <w:spacing w:after="0" w:line="3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atai Life Sciences 2020 Employee, Director and Consultant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No. 333-257482 on Form S-8 of our report dated March 17, 2025 relating to the financial statements of ATAI Life Sciences N.V., appearing in the Annual Report on Form 10-K of ATAI Life Sciences N.V.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AUDITORS</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No.1 to the Registration Statement on Form S-8 (No. 333-257482) of AtaiBeckley Inc. of our report dated August 13, 2025 relating to the financial statements of Beckley Psytech Limited, which appears in ATAI Life Sciences N.V.’s Current Report on Form 8-K dated September 29,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27875" cy="578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7127875" cy="57848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ATAIBECKLEY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INCENTIVE AWARD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as amended</w:t>
      </w:r>
      <w:r>
        <w:rPr>
          <w:rFonts w:ascii="Times New Roman" w:cs="Times New Roman" w:eastAsia="Times New Roman" w:hAnsi="Times New Roman"/>
          <w:sz w:val="18"/>
          <w:szCs w:val="18"/>
          <w:b w:val="1"/>
          <w:bCs w:val="1"/>
          <w:color w:val="auto"/>
        </w:rPr>
        <w: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Plan’s purpose is to enhance the Company’s ability to attract, retain and motivate persons who make (or are expected to make) important contributions to the Company by providing these individuals with equity ownership opportunities. Capitalized terms used in the Plan are defined in Article XI.</w:t>
      </w:r>
    </w:p>
    <w:p>
      <w:pPr>
        <w:spacing w:after="0" w:line="1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as it deems necessary or appropriate to administer the Plan and any Awards. The Administrator’s determinations under the Plan are in its sole discretion.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Applicable Laws permit, the Board may delegate any or all of its powers under the Plan to one or more Committees or officers of the Company or any of its Subsidiaries. The Board may abolish any Committee it established or re-vest in itself any previously delegated authority at any time.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AVAILABLE FOR AWARDS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VIII and the terms of this Article IV, Awards may be made under the Plan covering up to the Overall Share Limit. As of the Plan’s effective date, the Company will cease granting awards under the Prior Plan; however Prior Plan Awards will remain subject to the terms of the Prior Plan. Shares issued under the Plan may consist of authorized but unissued Shares, Shares purchased on the open market or treasury Shares.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 If all or any part of an Award or Prior Plan Award expires, lapses or is terminated, exchanged for cash, surrendered, repurchased, canceled without having been fully exercised or forfeited, in any case, in a manner that results in the Company acquiring Shares covered by the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Further, Shares delivered (either by actual delivery or attestation) to the Company by a Participant to satisfy the applicable exercise or purchase price of an Award or Prior Plan Award and/or to satisfy any applicable tax withholding obligation (including Shares retained by the Company from the Award or Prior Plan Award being exercised or purchased and/or creating the tax obligation) will, as applicable, become or again be available for Award grants under the Plan. The payment of Dividend Equivalents in cash in conjunction with any outstanding Awards or Prior Plan Awards shall not count against the Overall Share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16,000,000 Shares may be issued pursuant to the exercise of Incentive Stock Options.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Service Providers subject to the limitations in the Plan, including any limitations in the Plan that apply to Incentive Stock Options.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Unless otherwise determined by the Administrator, the exercise price will not be less than 100% of the Fair Market Value on the grant date of the Option or Stock Appreciation Right.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Each Option or Stock Appreciation Right will be exercisable at such times and as specified in the Award Agreement, provided that, unless otherwise determined by the Administrator, the term of an Option or Stock Appreciation Right will not exceed ten years. Notwithstanding the foregoing,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Subject to Section 10.8, any Company insider trading policy (including blackout periods) and Applicable Laws, the exercise price of an Option must be paid by:</w:t>
      </w:r>
    </w:p>
    <w:p>
      <w:pPr>
        <w:spacing w:after="0" w:line="162" w:lineRule="exact"/>
        <w:rPr>
          <w:sz w:val="20"/>
          <w:szCs w:val="20"/>
          <w:color w:val="auto"/>
        </w:rPr>
      </w:pPr>
    </w:p>
    <w:p>
      <w:pPr>
        <w:ind w:right="20" w:firstLine="1304"/>
        <w:spacing w:after="0" w:line="282" w:lineRule="auto"/>
        <w:tabs>
          <w:tab w:leader="none" w:pos="19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(either by actual delivery or attestation) of Shares owned by the Participant valued at their fair market value;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surrendering Shares then issuable upon the Option’s exercise valued at their fair market value on the exercise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delivery of a promissory note or any other property that the Administrator determines is good and valuable consideration; or</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Company, any combination of the above payment forms approved by the Administrator.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 The Administrator will determine and set forth in the Award Agreement the terms and conditions for each Restricted Stock and Restricted Stock Unit Award, subject to the conditions and limitations contained in the Plan.</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00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Common Shares of property other than an ordinary cash dividend, the Shares or other property will be subject to the same restrictions on transferability and forfeitability as the shares of Restricted Stock with respect to which they were paid.</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Certificates</w:t>
      </w:r>
      <w:r>
        <w:rPr>
          <w:rFonts w:ascii="Times New Roman" w:cs="Times New Roman" w:eastAsia="Times New Roman" w:hAnsi="Times New Roman"/>
          <w:sz w:val="18"/>
          <w:szCs w:val="18"/>
          <w:color w:val="auto"/>
        </w:rPr>
        <w:t>. The Company may require that the Participant deposit in escrow with the Company (or its designee) any share certificates issued in respect of shares of Restricted Stock, together with a share power endorsed in blank.</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225" w:lineRule="exact"/>
        <w:rPr>
          <w:sz w:val="20"/>
          <w:szCs w:val="20"/>
          <w:color w:val="auto"/>
        </w:rPr>
      </w:pPr>
    </w:p>
    <w:p>
      <w:pPr>
        <w:jc w:val="both"/>
        <w:ind w:firstLine="1304"/>
        <w:spacing w:after="0" w:line="266" w:lineRule="auto"/>
        <w:tabs>
          <w:tab w:leader="none" w:pos="19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A Participant will have no rights of a shareholder with respect to Shares subject to any Restricted Stock Unit unless and until the Shares are delivered in settlement of the Restricted Stock Unit.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Administrator provides, a grant of Restricted Stock Units may provide a Participant with the right to receive Dividend Equivalents. Dividend Equivalents may be paid currently or credited to an account for the Participant, settled in cash or Shares and subject to the same restrictions on transferability and forfeitability as the Restricted Stock Units with respect to which the Dividend Equivalents are granted and subject to other terms and conditions as set forth in the Award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 OR CASH BASED AWARDS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 (which may be based on the Performance Criteria), transfer restrictions, and vesting conditions, which will be set forth in the applicable Award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COMMON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Common Shares,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Shares or other securities of the Company, Change in Control, issuance of warrants or other rights to purchase Common Shares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w:t>
      </w:r>
    </w:p>
    <w:p>
      <w:pPr>
        <w:spacing w:after="0" w:line="5"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such transaction or event or (z) give effect to such changes in Applicable Laws or accounting principles:</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 and provided further that, Awards held by members of the Board will be settled in Shares on or immediately prior to the applicable event if the Administrator takes action under this clause (a);</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2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and/or applicable exercise or purchase price, in all cases, as determined by the Administrator;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both"/>
        <w:ind w:firstLine="1304"/>
        <w:spacing w:after="0" w:line="261" w:lineRule="auto"/>
        <w:tabs>
          <w:tab w:leader="none" w:pos="1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Common Shares (or other securities or property) subject to outstanding Awards and/or with respect to which Awards may be granted under the Plan (including, but not limited to, adjustments of the limitations in Article IV hereof on the maximum number and kind of shares which may be issued) and/or in the terms and conditions of (including the grant or exercise price), and the criteria included in, outstanding Awards;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Notwithstanding Section 8.2 above, if a Change in Control occurs and Awards are not continued, converted, assumed, or replaced with a comparable award (as determined by the Administrator) by (i) the Company or (ii) a successor entity or its parent or subsidiary (an “</w:t>
      </w:r>
      <w:r>
        <w:rPr>
          <w:rFonts w:ascii="Times New Roman" w:cs="Times New Roman" w:eastAsia="Times New Roman" w:hAnsi="Times New Roman"/>
          <w:sz w:val="18"/>
          <w:szCs w:val="18"/>
          <w:b w:val="1"/>
          <w:bCs w:val="1"/>
          <w:i w:val="1"/>
          <w:iCs w:val="1"/>
          <w:color w:val="auto"/>
        </w:rPr>
        <w:t>Assumption</w:t>
      </w:r>
      <w:r>
        <w:rPr>
          <w:rFonts w:ascii="Times New Roman" w:cs="Times New Roman" w:eastAsia="Times New Roman" w:hAnsi="Times New Roman"/>
          <w:sz w:val="18"/>
          <w:szCs w:val="18"/>
          <w:color w:val="auto"/>
        </w:rPr>
        <w:t>”), and provided that the Participant has not had a Termination of Service, then immediately prior to the Change in Control such Awards (other than any Award that is regularly scheduled to vest based on the attainment of performance-based vesting conditions) will become fully vested, exercisable and/or payable, as applicable, and all forfeiture, repurchase and other restrictions on such Awards will lapse, in which case, such Awards will be canceled upon the consummation of the Change in Control in exchange for the right to receive the Change in Control consideration payable to other holders of Common Shares, which may be on such terms and conditions as apply generally to holders of Common Shares under the Change in Control documents (including, without limitation, any escrow, earn-out or other deferred consideration provisions) or such other terms and conditions as the Administrator may provide, and determined by reference to the number of Shares subject to such Awards and net of any applicable exercise price; provided that to the extent that any Awards constitute “nonqualified deferred compensation” that may not be paid upon the 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An Award will be considered replaced with a comparable award if the Award is exchanged for an amount of cash or other property with a value equal to the amount that could have been obtained upon the settlement of such Award in such Change in Control (as determined by the Administrator), even if such cash or other property payable with respect to the unvested portion of such Award remains subject to similar vesting provisions following such Change in Control. Notwithstanding the foregoing, the Administrator will have full and final authority to determine whether an Assumption of an Award has occurred in connection with a Change in Control.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share dividend, share split, combination or exchange of shares, merger, consolidation or other distribution (other than normal cash dividends) of Company assets to shareholders, or any other extraordinary transaction or change affecting the Shares or the share price of Common Shares, including any Equity Restructuring or any securities offering or other similar transaction, for administrative convenience, the Administrator may refuse to permit the exercise of any Award for up to sixty days before or after such transaction.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 APPLICABLE TO AWARDS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by will or the laws of descent and distribution, or, subject to the Administrator’s consent, pursuant to a domestic relations order, and, during the life of the Participant, will be exercisable only by the Participant. References to a Participant, to the extent relevant in the context, will include references to a Participant’s authorized transferee that the Administrator specifically approves.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which may be written or electronic, as the Administrator determines. Each Award may contain terms and conditions in addition to those set forth in the Plan.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Discretion</w:t>
      </w:r>
      <w:r>
        <w:rPr>
          <w:rFonts w:ascii="Times New Roman" w:cs="Times New Roman" w:eastAsia="Times New Roman" w:hAnsi="Times New Roman"/>
          <w:sz w:val="18"/>
          <w:szCs w:val="18"/>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payment forms if one or more of the payment forms below is permitted, (ii) to the extent permitted by the Administrator, in whole or in part by delivery of Shares, including Shares retained from the Award creating the tax obligation, valued at their fair market value, (iii) if there is a public market for Shares at the time the tax obligations are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not, except pursuant to Article VIII, without the approval of the shareholders of the Company,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Conditions on Delivery of Shares</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Additional Terms of Incentive Stock Options</w:t>
      </w:r>
      <w:r>
        <w:rPr>
          <w:rFonts w:ascii="Times New Roman" w:cs="Times New Roman" w:eastAsia="Times New Roman" w:hAnsi="Times New Roman"/>
          <w:sz w:val="18"/>
          <w:szCs w:val="18"/>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 Rights as Shareholder; Certificates</w:t>
      </w:r>
      <w:r>
        <w:rPr>
          <w:rFonts w:ascii="Times New Roman" w:cs="Times New Roman" w:eastAsia="Times New Roman" w:hAnsi="Times New Roman"/>
          <w:sz w:val="18"/>
          <w:szCs w:val="18"/>
          <w:color w:val="auto"/>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share plan administrator). The Company may place legends on share certificates issued under the Plan that the Administrator deems necessary or appropriate to comply with Applicable Laws.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Unless earlier terminated by the Board, the Plan will become effective on the Pricing Date and will remain in effect until the tenth anniversary of the earlier of (i) the date the Supervisory Board of ATAI Life Sciences, N.V. adopted the Plan or (ii) the date the Company’s shareholders approved the Plan, but Awards previously granted may extend beyond that date in accordance with the Plan.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Administrator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Administrator will obtain shareholder approval of any Plan amendment to the extent necessary to comply with Applicable Laws.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or establish subplans or procedures under the Plan to address differences in laws, rules, regulations or customs of such foreign jurisdictions with respect to tax, securities, currency, employee benefit or other matters.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0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and to the maximum extent permitted by Applicable Laws, no individual acting as a director, officer, other employee or agent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other employee or agent of the Company or any Subsidiary. To the maximum extent permitted by Applicable Laws, the Company will indemnify and hold harmless each director, officer, other employee and agent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During any such period and unless determined otherwise by the Administrator, a Participant subject to tax in the Netherlands (i) shall not sell Shares under any circumstances and may not directly or indirectly assign, transfer, pledge or otherwise encumber any Shares or take any action to avoid the impact of such restriction, (ii) shall, at the Administrator’s request, represent to the Company that the Participant has complied with these restrictions so that the Administrator may monitor Participant’s compliance and (iii) bear the risk of any potential decrease of the market value of the Shares during the lock-up period.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The following section shall apply to the extent permitted by Applicable Laws: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The Company may cancel Participant’s ability to participate in the Plan and, in the Administrator’s discretion, the Participant may forfeit any outstanding Awards if the Participant refuses or withdraws the consents in this Section 10.9. For more information on the consequences of refusing or withdrawing consent, Participants may contact their local human resources representative.</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the State of Delaware, disregarding any choice-of-law principles requiring the application of a jurisdiction’s laws other than those of the State of Delaware.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any proceeds, gains or other economic benefit the Participant actually or constructively receives upon receipt or exercise of any Award or the receipt or resale of any Shares underlying the Award) will be subject to any claw-back policy adopted by the Company (or any Subsidiary) to comply with Applicable Laws (including, to the extent applicable, the Corporate Governance Code and the Dodd-Frank Wall Street Reform and Consumer Protection Act and any rules or regulations promulgated thereunder) as set forth in such claw-back policy or the Award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Conformity to Applicable Laws</w:t>
      </w:r>
      <w:r>
        <w:rPr>
          <w:rFonts w:ascii="Times New Roman" w:cs="Times New Roman" w:eastAsia="Times New Roman" w:hAnsi="Times New Roman"/>
          <w:sz w:val="18"/>
          <w:szCs w:val="18"/>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Broker-Assisted Sales</w:t>
      </w:r>
      <w:r>
        <w:rPr>
          <w:rFonts w:ascii="Times New Roman" w:cs="Times New Roman" w:eastAsia="Times New Roman" w:hAnsi="Times New Roman"/>
          <w:sz w:val="18"/>
          <w:szCs w:val="18"/>
          <w:color w:val="auto"/>
        </w:rPr>
        <w:t>. In the event of a broker-assisted sale of Shares in connection with the payment of amounts owed by a Participant under or with respect to the Plan or Awards, including amounts to be paid under the final sentence of Section 9.5: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9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words and phrases will have the following meanings: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means the requirements relating to the administration of equity incentive plans under securities, tax and other applicable laws, rules and regulations of the State of Delaware, the applicable rules of any stock exchange or quotation system on which the Common Shares are listed or quoted and the applicable laws and rules of any other country or jurisdiction where Awards are granted or governed.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or Other Stock or Cash Based Awards.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evidencing an Award, which may be electronic, that contains such terms and conditions as the Administrator determines, consistent with and subject to the terms and conditions of the Plan.</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(i) if a Participant is a party to a written employment, severance or consulting agreement with the Company or any of its Subsidiaries or an Award Agreement in which the term “cause” is defined (a “</w:t>
      </w:r>
      <w:r>
        <w:rPr>
          <w:rFonts w:ascii="Times New Roman" w:cs="Times New Roman" w:eastAsia="Times New Roman" w:hAnsi="Times New Roman"/>
          <w:sz w:val="18"/>
          <w:szCs w:val="18"/>
          <w:b w:val="1"/>
          <w:bCs w:val="1"/>
          <w:i w:val="1"/>
          <w:iCs w:val="1"/>
          <w:color w:val="auto"/>
        </w:rPr>
        <w:t>Relevant Agreement</w:t>
      </w:r>
      <w:r>
        <w:rPr>
          <w:rFonts w:ascii="Times New Roman" w:cs="Times New Roman" w:eastAsia="Times New Roman" w:hAnsi="Times New Roman"/>
          <w:sz w:val="18"/>
          <w:szCs w:val="18"/>
          <w:color w:val="auto"/>
        </w:rPr>
        <w:t>”), “Cause” as defined in the Relevant Agreement, and</w:t>
      </w:r>
    </w:p>
    <w:p>
      <w:pPr>
        <w:spacing w:after="0" w:line="1" w:lineRule="exact"/>
        <w:rPr>
          <w:sz w:val="20"/>
          <w:szCs w:val="20"/>
          <w:color w:val="auto"/>
        </w:rPr>
      </w:pPr>
    </w:p>
    <w:p>
      <w:pPr>
        <w:jc w:val="both"/>
        <w:ind w:firstLine="8"/>
        <w:spacing w:after="0" w:line="253" w:lineRule="auto"/>
        <w:tabs>
          <w:tab w:leader="none" w:pos="2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Relevant Agreement exists, (a) dishonesty with respect to the Company or any of its Subsidiaries or affiliates, (b) insubordination, substantial malfeasance or non-feasance of duty, (c) unauthorized disclosure of confidential information, (d) breach by a Participant of any material provision of any employment, consulting, advisory, nondisclosure, non-competition or similar agreement between the Participant and the Company or any of Subsidiaries or affiliates, or (e) conduct substantially prejudicial to the business of the Company or any Subsidiary. The determination of the Administrator as to the existence of Cause will be conclusive on the Participant and the Company.</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and includes each of the following:</w:t>
      </w:r>
    </w:p>
    <w:p>
      <w:pPr>
        <w:spacing w:after="0" w:line="229" w:lineRule="exact"/>
        <w:rPr>
          <w:sz w:val="20"/>
          <w:szCs w:val="20"/>
          <w:color w:val="auto"/>
        </w:rPr>
      </w:pPr>
    </w:p>
    <w:p>
      <w:pPr>
        <w:jc w:val="both"/>
        <w:ind w:firstLine="1304"/>
        <w:spacing w:after="0" w:line="255" w:lineRule="auto"/>
        <w:tabs>
          <w:tab w:leader="none" w:pos="20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or series of transactions (other than an offering of Common Shares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7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8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or (b)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and the regulations issued thereunder.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members of the Board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Shares</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AtaiBeckley Inc., a Delaware corporation (formerly ATAI Life Sciences, N.V.), or any successor.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any adviser, engaged by the Company or any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DCC</w:t>
      </w:r>
      <w:r>
        <w:rPr>
          <w:rFonts w:ascii="Times New Roman" w:cs="Times New Roman" w:eastAsia="Times New Roman" w:hAnsi="Times New Roman"/>
          <w:sz w:val="17"/>
          <w:szCs w:val="17"/>
          <w:color w:val="auto"/>
        </w:rPr>
        <w:t>” means the Dutch Civil Code.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of the Participant designated pursuant to Applicable Laws, to receive amounts due or exercise the Participant’s rights if the Participant dies or becomes incapacitated.</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11.15</w:t>
        <w:tab/>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11.16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disability to perform work due to sickness within the meaning of Section 7:629 subsection 1 of the DCC, or the equivalent of Section 7:629 subsection 1 of the DCC under other Applicable Laws.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11.17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under the Plan to receive the equivalent value (in cash or Shares) of dividends paid on Shares.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employee of the Company or its Subsidiaries.</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11.19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shareholders, such as a share dividend, share split, spin-off or recapitalization through a large, nonrecurring cash dividend, that affects the number or kind of Shares (or other Company securities) or the share price of Common Shares (or other Company securities) and causes a change in the per share value of the Common Shares underlying outstanding Awards.</w:t>
      </w:r>
    </w:p>
    <w:p>
      <w:pPr>
        <w:spacing w:after="0" w:line="39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11.20</w:t>
        <w:tab/>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11.21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Common Share determined as follows: (i) if the Common Shares are listed on any established stock exchange, the Fair Market Value will be the closing sales price for a Common Share as quoted on such exchange for such date, or if no sale occurred on such date, the last day preceding such date during which a sale occurred, as reported in The Wall Street Journal or another source the Administrator deems reliable; (ii) if the Common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in any case the Administrator may determine the Fair Market Value in its discretion. Notwithstanding the foregoing, with respect to any Award granted on the Pricing Date or the Public Trading Date, the Fair Market Value shall mean the initial public offering price of a Share as set forth in the Company’s final prospectus relating to its initial public offering filed with the Securities and Exchange Commission.</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11.22 “</w:t>
      </w:r>
      <w:r>
        <w:rPr>
          <w:rFonts w:ascii="Times New Roman" w:cs="Times New Roman" w:eastAsia="Times New Roman" w:hAnsi="Times New Roman"/>
          <w:sz w:val="18"/>
          <w:szCs w:val="18"/>
          <w:b w:val="1"/>
          <w:bCs w:val="1"/>
          <w:i w:val="1"/>
          <w:iCs w:val="1"/>
          <w:color w:val="auto"/>
        </w:rPr>
        <w:t>Greater Than 10% Shareholder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shares of the Company or its parent or subsidiary corporation, as defined in Section 424(e) and (f) of the Code, respectively.</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 Stock Option</w:t>
      </w:r>
      <w:r>
        <w:rPr>
          <w:rFonts w:ascii="Times New Roman" w:cs="Times New Roman" w:eastAsia="Times New Roman" w:hAnsi="Times New Roman"/>
          <w:sz w:val="17"/>
          <w:szCs w:val="17"/>
          <w:color w:val="auto"/>
        </w:rPr>
        <w:t>” means an Option intended to qualify as an “incentive stock option” as defined in Section 422 of the Code.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Non-Qualified Stock Option</w:t>
      </w:r>
      <w:r>
        <w:rPr>
          <w:rFonts w:ascii="Times New Roman" w:cs="Times New Roman" w:eastAsia="Times New Roman" w:hAnsi="Times New Roman"/>
          <w:sz w:val="17"/>
          <w:szCs w:val="17"/>
          <w:color w:val="auto"/>
        </w:rPr>
        <w:t>” means an Option not intended or not qualifying as an Incentive Stock Option.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11.25</w:t>
        <w:tab/>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option to purchase Shares.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11.26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11.27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the sum of (i) 25% of the issued capital of the Company, determined as of immediately following the registered underwritten public offering of the Shares (provided that no less than 16,000,000 Shares will initially be available for issuance as of the Pricing Date); (ii) any Common Shares which are subject to Prior Plan Awards which become available for issuance under the Plan pursuant to Article IV; and (iii) an annual increase on the first day of each calendar year beginning January 1, 2022 and ending on and including January 1, 2031, equal to the lesser of (A) 5% of the aggregate number of Common Shares outstanding on the final day of the immediately preceding calendar year and (B) such smaller number of Shares as is determined by the Board.</w:t>
      </w:r>
    </w:p>
    <w:p>
      <w:pPr>
        <w:spacing w:after="0" w:line="18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Service Provider who has been granted an Award.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11.29 “</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 the criteria (and adjustments) that the Administrator may select for an Award to establish performance goals for a performance period, which may include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shareholders’ equity; total shareholder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 The Committee may provide for exclusion of the impact of an event or occurrence which the Committee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Shares, (m) any business interruption event (n) the cumulative effects of tax or accounting changes in accordance with U.S. generally accepted accounting principles, or (o) the effect of changes in other laws or regulatory rules affecting reported results.</w:t>
      </w:r>
    </w:p>
    <w:p>
      <w:pPr>
        <w:spacing w:after="0" w:line="20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2021 Incentive Award Plan.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11.31 “</w:t>
      </w:r>
      <w:r>
        <w:rPr>
          <w:rFonts w:ascii="Times New Roman" w:cs="Times New Roman" w:eastAsia="Times New Roman" w:hAnsi="Times New Roman"/>
          <w:sz w:val="18"/>
          <w:szCs w:val="18"/>
          <w:b w:val="1"/>
          <w:bCs w:val="1"/>
          <w:i w:val="1"/>
          <w:iCs w:val="1"/>
          <w:color w:val="auto"/>
        </w:rPr>
        <w:t>Pricing Date</w:t>
      </w:r>
      <w:r>
        <w:rPr>
          <w:rFonts w:ascii="Times New Roman" w:cs="Times New Roman" w:eastAsia="Times New Roman" w:hAnsi="Times New Roman"/>
          <w:sz w:val="18"/>
          <w:szCs w:val="18"/>
          <w:color w:val="auto"/>
        </w:rPr>
        <w:t>” means the date upon which the Company’s Registration Statement on Form S-1 filed with the Securities and Exchange Commission relating to the registered underwritten public offering of Common Shares becomes effective.</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Prior Plan</w:t>
      </w:r>
      <w:r>
        <w:rPr>
          <w:rFonts w:ascii="Times New Roman" w:cs="Times New Roman" w:eastAsia="Times New Roman" w:hAnsi="Times New Roman"/>
          <w:sz w:val="17"/>
          <w:szCs w:val="17"/>
          <w:color w:val="auto"/>
        </w:rPr>
        <w:t>” means the AtaiBeckley Inc. 2020 Employee, Director and Consultant Equity Incentive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Prior Plan Award</w:t>
      </w:r>
      <w:r>
        <w:rPr>
          <w:rFonts w:ascii="Times New Roman" w:cs="Times New Roman" w:eastAsia="Times New Roman" w:hAnsi="Times New Roman"/>
          <w:sz w:val="17"/>
          <w:szCs w:val="17"/>
          <w:color w:val="auto"/>
        </w:rPr>
        <w:t>” means an award outstanding under the Prior Plan as of the Pricing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11.34 “</w:t>
      </w:r>
      <w:r>
        <w:rPr>
          <w:rFonts w:ascii="Times New Roman" w:cs="Times New Roman" w:eastAsia="Times New Roman" w:hAnsi="Times New Roman"/>
          <w:sz w:val="18"/>
          <w:szCs w:val="18"/>
          <w:b w:val="1"/>
          <w:bCs w:val="1"/>
          <w:i w:val="1"/>
          <w:iCs w:val="1"/>
          <w:color w:val="auto"/>
        </w:rPr>
        <w:t>Public Trading Date</w:t>
      </w:r>
      <w:r>
        <w:rPr>
          <w:rFonts w:ascii="Times New Roman" w:cs="Times New Roman" w:eastAsia="Times New Roman" w:hAnsi="Times New Roman"/>
          <w:sz w:val="18"/>
          <w:szCs w:val="18"/>
          <w:color w:val="auto"/>
        </w:rPr>
        <w:t>” means the first date upon which the Common Shares are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color w:val="auto"/>
        </w:rPr>
        <w:t>” means Shares awarded to a Participant under Article VI subject to certain vesting conditions and other restrictions.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11.36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Rule 16b-3</w:t>
      </w:r>
      <w:r>
        <w:rPr>
          <w:rFonts w:ascii="Times New Roman" w:cs="Times New Roman" w:eastAsia="Times New Roman" w:hAnsi="Times New Roman"/>
          <w:sz w:val="17"/>
          <w:szCs w:val="17"/>
          <w:color w:val="auto"/>
        </w:rPr>
        <w:t>” means Rule 16b-3 promulgated under the Exchange Act.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11.38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all regulations, guidance, compliance programs and other interpretative authority thereunder.</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11.39</w:t>
        <w:tab/>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means an Employee, Consultant or Director.</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Common Shares.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11.42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means a stock appreciation right granted under Article V.</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11.43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11.44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shall mean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11.45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of Service</w:t>
      </w:r>
      <w:r>
        <w:rPr>
          <w:rFonts w:ascii="Times New Roman" w:cs="Times New Roman" w:eastAsia="Times New Roman" w:hAnsi="Times New Roman"/>
          <w:sz w:val="17"/>
          <w:szCs w:val="17"/>
          <w:color w:val="auto"/>
        </w:rPr>
        <w:t>” means the date the Participant ceases to be a Service Provider.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1"/>
    </w:lvl>
  </w:abstractNum>
  <w:abstractNum w:abstractNumId="1">
    <w:nsid w:val="2443A858"/>
    <w:multiLevelType w:val="hybridMultilevel"/>
    <w:lvl w:ilvl="0">
      <w:lvlJc w:val="left"/>
      <w:lvlText w:val="(%1)"/>
      <w:numFmt w:val="lowerLetter"/>
      <w:start w:val="4"/>
    </w:lvl>
  </w:abstractNum>
  <w:abstractNum w:abstractNumId="2">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6763845E"/>
    <w:multiLevelType w:val="hybridMultilevel"/>
    <w:lvl w:ilvl="0">
      <w:lvlJc w:val="left"/>
      <w:lvlText w:val="(%1)"/>
      <w:numFmt w:val="lowerRoman"/>
      <w:start w:val="3"/>
    </w:lvl>
  </w:abstractNum>
  <w:abstractNum w:abstractNumId="4">
    <w:nsid w:val="75A2A8D4"/>
    <w:multiLevelType w:val="hybridMultilevel"/>
    <w:lvl w:ilvl="0">
      <w:lvlJc w:val="left"/>
      <w:lvlText w:val="%1"/>
      <w:numFmt w:val="lowerLetter"/>
      <w:start w:val="1"/>
    </w:lvl>
    <w:lvl w:ilvl="1">
      <w:lvlJc w:val="left"/>
      <w:lvlText w:val="(%2)"/>
      <w:numFmt w:val="decimal"/>
      <w:start w:val="2"/>
    </w:lvl>
  </w:abstractNum>
  <w:abstractNum w:abstractNumId="5">
    <w:nsid w:val="8EDBDAB"/>
    <w:multiLevelType w:val="hybridMultilevel"/>
    <w:lvl w:ilvl="0">
      <w:lvlJc w:val="left"/>
      <w:lvlText w:val="(%1)"/>
      <w:numFmt w:val="lowerLetter"/>
      <w:start w:val="2"/>
    </w:lvl>
    <w:lvl w:ilvl="1">
      <w:lvlJc w:val="left"/>
      <w:lvlText w:val="%2"/>
      <w:numFmt w:val="decimal"/>
      <w:start w:val="1"/>
    </w:lvl>
  </w:abstractNum>
  <w:abstractNum w:abstractNumId="6">
    <w:nsid w:val="79838CB2"/>
    <w:multiLevelType w:val="hybridMultilevel"/>
    <w:lvl w:ilvl="0">
      <w:lvlJc w:val="left"/>
      <w:lvlText w:val="(%1)"/>
      <w:numFmt w:val="lowerLetter"/>
      <w:start w:val="8"/>
    </w:lvl>
  </w:abstractNum>
  <w:abstractNum w:abstractNumId="7">
    <w:nsid w:val="4353D0CD"/>
    <w:multiLevelType w:val="hybridMultilevel"/>
    <w:lvl w:ilvl="0">
      <w:lvlJc w:val="left"/>
      <w:lvlText w:val="%1."/>
      <w:numFmt w:val="upperLetter"/>
      <w:start w:val="1"/>
    </w:lvl>
    <w:lvl w:ilvl="1">
      <w:lvlJc w:val="left"/>
      <w:lvlText w:val="%2."/>
      <w:numFmt w:val="decimal"/>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upperLetter"/>
      <w:start w:val="1"/>
    </w:lvl>
    <w:lvl w:ilvl="1">
      <w:lvlJc w:val="left"/>
      <w:lvlText w:val="%2."/>
      <w:numFmt w:val="decimal"/>
      <w:start w:val="3"/>
    </w:lvl>
  </w:abstractNum>
  <w:abstractNum w:abstractNumId="10">
    <w:nsid w:val="54E49EB4"/>
    <w:multiLevelType w:val="hybridMultilevel"/>
    <w:lvl w:ilvl="0">
      <w:lvlJc w:val="left"/>
      <w:lvlText w:val="%1."/>
      <w:numFmt w:val="upperLetter"/>
      <w:start w:val="2"/>
    </w:lvl>
    <w:lvl w:ilvl="1">
      <w:lvlJc w:val="left"/>
      <w:lvlText w:val="%2"/>
      <w:numFmt w:val="decimal"/>
      <w:start w:val="1"/>
    </w:lvl>
  </w:abstractNum>
  <w:abstractNum w:abstractNumId="11">
    <w:nsid w:val="71F32454"/>
    <w:multiLevelType w:val="hybridMultilevel"/>
    <w:lvl w:ilvl="0">
      <w:lvlJc w:val="left"/>
      <w:lvlText w:val="%1."/>
      <w:numFmt w:val="upperLetter"/>
      <w:start w:val="6"/>
    </w:lvl>
  </w:abstractNum>
  <w:abstractNum w:abstractNumId="12">
    <w:nsid w:val="2CA88611"/>
    <w:multiLevelType w:val="hybridMultilevel"/>
    <w:lvl w:ilvl="0">
      <w:lvlJc w:val="left"/>
      <w:lvlText w:val="%1."/>
      <w:numFmt w:val="upperLetter"/>
      <w:start w:val="1"/>
    </w:lvl>
  </w:abstractNum>
  <w:abstractNum w:abstractNumId="13">
    <w:nsid w:val="836C40E"/>
    <w:multiLevelType w:val="hybridMultilevel"/>
    <w:lvl w:ilvl="0">
      <w:lvlJc w:val="left"/>
      <w:lvlText w:val="(%1)"/>
      <w:numFmt w:val="lowerLetter"/>
      <w:start w:val="61"/>
    </w:lvl>
    <w:lvl w:ilvl="1">
      <w:lvlJc w:val="left"/>
      <w:lvlText w:val="(%2)"/>
      <w:numFmt w:val="lowerLetter"/>
      <w:start w:val="2"/>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4"/>
    </w:lvl>
  </w:abstractNum>
  <w:abstractNum w:abstractNumId="16">
    <w:nsid w:val="8138641"/>
    <w:multiLevelType w:val="hybridMultilevel"/>
    <w:lvl w:ilvl="0">
      <w:lvlJc w:val="left"/>
      <w:lvlText w:val="(%1)"/>
      <w:numFmt w:val="upperLetter"/>
      <w:start w:val="2"/>
    </w:lvl>
  </w:abstractNum>
  <w:abstractNum w:abstractNumId="17">
    <w:nsid w:val="1E7FF521"/>
    <w:multiLevelType w:val="hybridMultilevel"/>
    <w:lvl w:ilvl="0">
      <w:lvlJc w:val="left"/>
      <w:lvlText w:val="(%1)"/>
      <w:numFmt w:val="upperLetter"/>
      <w:start w:val="8"/>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lowerLetter"/>
      <w:start w:val="4"/>
    </w:lvl>
  </w:abstractNum>
  <w:abstractNum w:abstractNumId="20">
    <w:nsid w:val="6CEAF087"/>
    <w:multiLevelType w:val="hybridMultilevel"/>
    <w:lvl w:ilvl="0">
      <w:lvlJc w:val="left"/>
      <w:lvlText w:val="(%1)"/>
      <w:numFmt w:val="lowerLetter"/>
      <w:start w:val="5"/>
    </w:lvl>
  </w:abstractNum>
  <w:abstractNum w:abstractNumId="21">
    <w:nsid w:val="22221A70"/>
    <w:multiLevelType w:val="hybridMultilevel"/>
    <w:lvl w:ilvl="0">
      <w:lvlJc w:val="left"/>
      <w:lvlText w:val="(%1)"/>
      <w:numFmt w:val="lowerLetter"/>
      <w:start w:val="2"/>
    </w:lvl>
    <w:lvl w:ilvl="1">
      <w:lvlJc w:val="left"/>
      <w:lvlText w:val="(%2)"/>
      <w:numFmt w:val="lowerRoman"/>
      <w:start w:val="2"/>
    </w:lvl>
  </w:abstractNum>
  <w:abstractNum w:abstractNumId="22">
    <w:nsid w:val="4516DDE9"/>
    <w:multiLevelType w:val="hybridMultilevel"/>
    <w:lvl w:ilvl="0">
      <w:lvlJc w:val="left"/>
      <w:lvlText w:val="%1"/>
      <w:numFmt w:val="lowerLetter"/>
      <w:start w:val="1"/>
    </w:lvl>
    <w:lvl w:ilvl="1">
      <w:lvlJc w:val="left"/>
      <w:lvlText w:val="(%2)"/>
      <w:numFmt w:val="lowerRoman"/>
      <w:start w:val="1"/>
    </w:lvl>
  </w:abstractNum>
  <w:abstractNum w:abstractNumId="23">
    <w:nsid w:val="3006C83E"/>
    <w:multiLevelType w:val="hybridMultilevel"/>
    <w:lvl w:ilvl="0">
      <w:lvlJc w:val="left"/>
      <w:lvlText w:val="(%1)"/>
      <w:numFmt w:val="lowerRoman"/>
      <w:start w:val="3"/>
    </w:lvl>
  </w:abstractNum>
  <w:abstractNum w:abstractNumId="24">
    <w:nsid w:val="614FD4A1"/>
    <w:multiLevelType w:val="hybridMultilevel"/>
    <w:lvl w:ilvl="0">
      <w:lvlJc w:val="left"/>
      <w:lvlText w:val="(%1)"/>
      <w:numFmt w:val="lowerLetter"/>
      <w:start w:val="4"/>
    </w:lvl>
  </w:abstractNum>
  <w:abstractNum w:abstractNumId="25">
    <w:nsid w:val="419AC241"/>
    <w:multiLevelType w:val="hybridMultilevel"/>
    <w:lvl w:ilvl="0">
      <w:lvlJc w:val="left"/>
      <w:lvlText w:val="(%1)"/>
      <w:numFmt w:val="lowerLetter"/>
      <w:start w:val="6"/>
    </w:lvl>
  </w:abstractNum>
  <w:abstractNum w:abstractNumId="26">
    <w:nsid w:val="5577F8E1"/>
    <w:multiLevelType w:val="hybridMultilevel"/>
    <w:lvl w:ilvl="0">
      <w:lvlJc w:val="left"/>
      <w:lvlText w:val="(%1)"/>
      <w:numFmt w:val="lowerLetter"/>
      <w:start w:val="2"/>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Roman"/>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1)"/>
      <w:numFmt w:val="lowerRoman"/>
      <w:start w:val="2"/>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lowerRoman"/>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25"/>
    </w:lvl>
    <w:lvl w:ilvl="1">
      <w:lvlJc w:val="left"/>
      <w:lvlText w:val="(%2)"/>
      <w:numFmt w:val="lowerLetter"/>
      <w:start w:val="1"/>
    </w:lvl>
  </w:abstractNum>
  <w:abstractNum w:abstractNumId="39">
    <w:nsid w:val="3855585C"/>
    <w:multiLevelType w:val="hybridMultilevel"/>
    <w:lvl w:ilvl="0">
      <w:lvlJc w:val="left"/>
      <w:lvlText w:val="(%1)"/>
      <w:numFmt w:val="lowerLetter"/>
      <w:start w:val="4"/>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lowerRoman"/>
      <w:start w:val="2"/>
    </w:lvl>
  </w:abstractNum>
  <w:abstractNum w:abstractNumId="42">
    <w:nsid w:val="2A487CB0"/>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43" Type="http://schemas.openxmlformats.org/officeDocument/2006/relationships/image" Target="media/image15.png"/><Relationship Id="rId45"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png"/><Relationship Id="rId57" Type="http://schemas.openxmlformats.org/officeDocument/2006/relationships/image" Target="media/image27.png"/><Relationship Id="rId58" Type="http://schemas.openxmlformats.org/officeDocument/2006/relationships/image" Target="media/image28.png"/><Relationship Id="rId59" Type="http://schemas.openxmlformats.org/officeDocument/2006/relationships/image" Target="media/image29.png"/><Relationship Id="rId60" Type="http://schemas.openxmlformats.org/officeDocument/2006/relationships/image" Target="media/image30.png"/><Relationship Id="rId61" Type="http://schemas.openxmlformats.org/officeDocument/2006/relationships/image" Target="media/image31.png"/><Relationship Id="rId62" Type="http://schemas.openxmlformats.org/officeDocument/2006/relationships/image" Target="media/image32.png"/><Relationship Id="rId63" Type="http://schemas.openxmlformats.org/officeDocument/2006/relationships/image" Target="media/image33.png"/><Relationship Id="rId64" Type="http://schemas.openxmlformats.org/officeDocument/2006/relationships/image" Target="media/image34.png"/><Relationship Id="rId65"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68" Type="http://schemas.openxmlformats.org/officeDocument/2006/relationships/image" Target="media/image38.png"/><Relationship Id="rId69" Type="http://schemas.openxmlformats.org/officeDocument/2006/relationships/image" Target="media/image39.png"/><Relationship Id="rId70" Type="http://schemas.openxmlformats.org/officeDocument/2006/relationships/image" Target="media/image40.png"/><Relationship Id="rId71" Type="http://schemas.openxmlformats.org/officeDocument/2006/relationships/image" Target="media/image41.png"/><Relationship Id="rId72" Type="http://schemas.openxmlformats.org/officeDocument/2006/relationships/image" Target="media/image42.png"/><Relationship Id="rId73" Type="http://schemas.openxmlformats.org/officeDocument/2006/relationships/image" Target="media/image43.png"/><Relationship Id="rId74" Type="http://schemas.openxmlformats.org/officeDocument/2006/relationships/image" Target="media/image44.png"/><Relationship Id="rId75" Type="http://schemas.openxmlformats.org/officeDocument/2006/relationships/image" Target="media/image45.png"/><Relationship Id="rId76"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jpeg"/><Relationship Id="rId107" Type="http://schemas.openxmlformats.org/officeDocument/2006/relationships/image" Target="media/image77.png"/><Relationship Id="rId108" Type="http://schemas.openxmlformats.org/officeDocument/2006/relationships/image" Target="media/image78.jpeg"/><Relationship Id="rId109" Type="http://schemas.openxmlformats.org/officeDocument/2006/relationships/image" Target="media/image79.png"/><Relationship Id="rId110" Type="http://schemas.openxmlformats.org/officeDocument/2006/relationships/image" Target="media/image80.jpe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22" Type="http://schemas.openxmlformats.org/officeDocument/2006/relationships/hyperlink" Target="https://www.sec.gov/ix?doc=/Archives/edgar/data/0001840904/000095017025040244/atai-20241231.htm" TargetMode="External"/><Relationship Id="rId23" Type="http://schemas.openxmlformats.org/officeDocument/2006/relationships/hyperlink" Target="https://www.sec.gov/ix?doc=/Archives/edgar/data/0001840904/000095017025071435/atai-20250331.htm" TargetMode="External"/><Relationship Id="rId24" Type="http://schemas.openxmlformats.org/officeDocument/2006/relationships/hyperlink" Target="https://www.sec.gov/ix?doc=/Archives/edgar/data/0001840904/000095017025108883/atai-20250630.htm" TargetMode="External"/><Relationship Id="rId25" Type="http://schemas.openxmlformats.org/officeDocument/2006/relationships/hyperlink" Target="https://www.sec.gov/ix?doc=/Archives/edgar/data/0001840904/000119312525277583/atai-20250930.htm" TargetMode="External"/><Relationship Id="rId26" Type="http://schemas.openxmlformats.org/officeDocument/2006/relationships/hyperlink" Target="https://www.sec.gov/ix?doc=/Archives/edgar/data/0001840904/000114036125001894/ef20042036_8k.htm" TargetMode="External"/><Relationship Id="rId27" Type="http://schemas.openxmlformats.org/officeDocument/2006/relationships/hyperlink" Target="https://www.sec.gov/ix?doc=/Archives/edgar/data/1840904/000114036125004342/ny20043283x2_8k.htm" TargetMode="External"/><Relationship Id="rId28" Type="http://schemas.openxmlformats.org/officeDocument/2006/relationships/hyperlink" Target="https://www.sec.gov/ix?doc=/Archives/edgar/data/0001840904/000114036125016660/ef20048125_8k.htm" TargetMode="External"/><Relationship Id="rId29" Type="http://schemas.openxmlformats.org/officeDocument/2006/relationships/hyperlink" Target="https://www.sec.gov/ix?doc=/Archives/edgar/data/0001840904/000114036125017962/ef20048578_8k.htm" TargetMode="External"/><Relationship Id="rId30" Type="http://schemas.openxmlformats.org/officeDocument/2006/relationships/hyperlink" Target="https://www.sec.gov/ix?doc=/Archives/edgar/data/0001840904/000114036125020052/ef20049456_8k.htm" TargetMode="External"/><Relationship Id="rId31" Type="http://schemas.openxmlformats.org/officeDocument/2006/relationships/hyperlink" Target="https://www.sec.gov/ix?doc=/Archives/edgar/data/0001840904/000114036125021024/ef20050047_8k.htm" TargetMode="External"/><Relationship Id="rId32" Type="http://schemas.openxmlformats.org/officeDocument/2006/relationships/hyperlink" Target="https://www.sec.gov/ix?doc=/Archives/edgar/data/0001840904/000114036125024290/ef20051402_8k.htm" TargetMode="External"/><Relationship Id="rId33" Type="http://schemas.openxmlformats.org/officeDocument/2006/relationships/hyperlink" Target="https://www.sec.gov/ix?doc=/Archives/edgar/data/0001840904/000114036125035777/ef20055927_8k.htm" TargetMode="External"/><Relationship Id="rId34" Type="http://schemas.openxmlformats.org/officeDocument/2006/relationships/hyperlink" Target="https://www.sec.gov/ix?doc=/Archives/edgar/data/0001840904/000114036125036537/ny20050228x7_8k.htm" TargetMode="External"/><Relationship Id="rId35" Type="http://schemas.openxmlformats.org/officeDocument/2006/relationships/hyperlink" Target="https://www.sec.gov/ix?doc=/Archives/edgar/data/0001840904/000114036125037941/ef20056757_8k.htm" TargetMode="External"/><Relationship Id="rId36" Type="http://schemas.openxmlformats.org/officeDocument/2006/relationships/hyperlink" Target="https://www.sec.gov/ix?doc=/Archives/edgar/data/0001840904/000114036125038319/ny20057248x2_8k.htm" TargetMode="External"/><Relationship Id="rId37" Type="http://schemas.openxmlformats.org/officeDocument/2006/relationships/hyperlink" Target="https://www.sec.gov/ix?doc=/Archives/edgar/data/0001840904/000114036125038525/ef20057374_8k.htm" TargetMode="External"/><Relationship Id="rId38" Type="http://schemas.openxmlformats.org/officeDocument/2006/relationships/hyperlink" Target="https://www.sec.gov/ix?doc=/Archives/edgar/data/0001840904/000114036125038748/ef20057467_8k.htm" TargetMode="External"/><Relationship Id="rId39" Type="http://schemas.openxmlformats.org/officeDocument/2006/relationships/hyperlink" Target="https://www.sec.gov/ix?doc=/Archives/edgar/data/0001840904/000114036125039317/ny20057479x1_8k.htm" TargetMode="External"/><Relationship Id="rId40" Type="http://schemas.openxmlformats.org/officeDocument/2006/relationships/hyperlink" Target="https://www.sec.gov/ix?doc=/Archives/edgar/data/0001840904/000114036125040358/ef20058230_8k.htm" TargetMode="External"/><Relationship Id="rId41" Type="http://schemas.openxmlformats.org/officeDocument/2006/relationships/hyperlink" Target="https://www.sec.gov/ix?doc=/Archives/edgar/data/0001840904/000114036125040429/ef20058318_8k.htm" TargetMode="External"/><Relationship Id="rId42" Type="http://schemas.openxmlformats.org/officeDocument/2006/relationships/hyperlink" Target="https://www.sec.gov/ix?doc=/Archives/edgar/data/0001840904/000114036125040444/ny20057479x6_8k.htm" TargetMode="External"/><Relationship Id="rId44" Type="http://schemas.openxmlformats.org/officeDocument/2006/relationships/hyperlink" Target="https://www.sec.gov/Archives/edgar/data/2081043/000114036125035690/ny20050228x3_s4.htm" TargetMode="External"/><Relationship Id="rId46" Type="http://schemas.openxmlformats.org/officeDocument/2006/relationships/hyperlink" Target="https://www.sec.gov/Archives/edgar/data/1840904/000119312521188243/d39052dex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2025-12-31T06:17:47Z</dcterms:created>
  <dcterms:modified xsi:type="dcterms:W3CDTF">2025-12-31T06:17:47Z</dcterms:modified>
</cp:coreProperties>
</file>