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15</w:t>
      </w:r>
    </w:p>
    <w:p>
      <w:pPr>
        <w:spacing w:after="0" w:line="237" w:lineRule="exact"/>
        <w:rPr>
          <w:sz w:val="24"/>
          <w:szCs w:val="24"/>
          <w:color w:val="auto"/>
        </w:rPr>
      </w:pPr>
    </w:p>
    <w:p>
      <w:pPr>
        <w:jc w:val="center"/>
        <w:ind w:left="340" w:right="2260"/>
        <w:spacing w:after="0" w:line="262" w:lineRule="auto"/>
        <w:rPr>
          <w:sz w:val="20"/>
          <w:szCs w:val="20"/>
          <w:color w:val="auto"/>
        </w:rPr>
      </w:pPr>
      <w:r>
        <w:rPr>
          <w:rFonts w:ascii="Times New Roman" w:cs="Times New Roman" w:eastAsia="Times New Roman" w:hAnsi="Times New Roman"/>
          <w:sz w:val="18"/>
          <w:szCs w:val="18"/>
          <w:b w:val="1"/>
          <w:bCs w:val="1"/>
          <w:color w:val="auto"/>
        </w:rPr>
        <w:t>CERTIFICATION AND NOTICE OF TERMINATION OF REGISTRATION UNDER SECTION 12(g) OF THE SECURITIES EXCHANGE ACT OF 1934 OR SUSPENSION OF DUTY TO FILE REPORTS UNDER SECTIONS 13 AND 15(d) OF THE SECURITIES EXCHANGE ACT OF 1934</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001-40493</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ATAI BECKLEY N.V.</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Prof. J.H. Bavincklaan 7</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1183 AT Amstelveen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Netherlands</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+49 89 2153 9035</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including zip code, and telephone number, including area code, of registrant’s principal executive offices)</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 shares, par value €0.10 per share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 of securities covered by this Form)</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(Titles of all other classes of securities for which a duty to file reports under section 13(a) or 15(d) remains)</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10480" w:type="dxa"/>
            <w:vAlign w:val="bottom"/>
          </w:tcPr>
          <w:p>
            <w:pPr>
              <w:spacing w:after="0"/>
              <w:rPr>
                <w:sz w:val="20"/>
                <w:szCs w:val="20"/>
                <w:color w:val="auto"/>
              </w:rPr>
            </w:pPr>
            <w:r>
              <w:rPr>
                <w:rFonts w:ascii="Times New Roman" w:cs="Times New Roman" w:eastAsia="Times New Roman" w:hAnsi="Times New Roman"/>
                <w:sz w:val="18"/>
                <w:szCs w:val="18"/>
                <w:color w:val="auto"/>
              </w:rPr>
              <w:t>Please place an X in the box(es) to designate the appropriate rule provision(s) relied upon to terminate or suspend the duty to file reports:</w:t>
            </w:r>
          </w:p>
        </w:tc>
        <w:tc>
          <w:tcPr>
            <w:tcW w:w="760" w:type="dxa"/>
            <w:vAlign w:val="bottom"/>
          </w:tcPr>
          <w:p>
            <w:pPr>
              <w:spacing w:after="0"/>
              <w:rPr>
                <w:sz w:val="20"/>
                <w:szCs w:val="20"/>
                <w:color w:val="auto"/>
              </w:rPr>
            </w:pPr>
          </w:p>
        </w:tc>
      </w:tr>
      <w:tr>
        <w:trPr>
          <w:trHeight w:val="378"/>
        </w:trPr>
        <w:tc>
          <w:tcPr>
            <w:tcW w:w="10480" w:type="dxa"/>
            <w:vAlign w:val="bottom"/>
          </w:tcPr>
          <w:p>
            <w:pPr>
              <w:spacing w:after="0"/>
              <w:rPr>
                <w:sz w:val="20"/>
                <w:szCs w:val="20"/>
                <w:color w:val="auto"/>
              </w:rPr>
            </w:pPr>
            <w:r>
              <w:rPr>
                <w:rFonts w:ascii="Times New Roman" w:cs="Times New Roman" w:eastAsia="Times New Roman" w:hAnsi="Times New Roman"/>
                <w:sz w:val="18"/>
                <w:szCs w:val="18"/>
                <w:color w:val="auto"/>
              </w:rPr>
              <w:t>Rule 12g-4(a)(1)</w:t>
            </w:r>
          </w:p>
        </w:tc>
        <w:tc>
          <w:tcPr>
            <w:tcW w:w="760" w:type="dxa"/>
            <w:vAlign w:val="bottom"/>
          </w:tcPr>
          <w:p>
            <w:pPr>
              <w:ind w:left="6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10480" w:type="dxa"/>
            <w:vAlign w:val="bottom"/>
          </w:tcPr>
          <w:p>
            <w:pPr>
              <w:spacing w:after="0"/>
              <w:rPr>
                <w:sz w:val="20"/>
                <w:szCs w:val="20"/>
                <w:color w:val="auto"/>
              </w:rPr>
            </w:pPr>
            <w:r>
              <w:rPr>
                <w:rFonts w:ascii="Times New Roman" w:cs="Times New Roman" w:eastAsia="Times New Roman" w:hAnsi="Times New Roman"/>
                <w:sz w:val="18"/>
                <w:szCs w:val="18"/>
                <w:color w:val="auto"/>
              </w:rPr>
              <w:t>Rule 12g-4(a)(2)</w:t>
            </w:r>
          </w:p>
        </w:tc>
        <w:tc>
          <w:tcPr>
            <w:tcW w:w="760" w:type="dxa"/>
            <w:vAlign w:val="bottom"/>
          </w:tcPr>
          <w:p>
            <w:pPr>
              <w:ind w:left="6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10480" w:type="dxa"/>
            <w:vAlign w:val="bottom"/>
          </w:tcPr>
          <w:p>
            <w:pPr>
              <w:spacing w:after="0"/>
              <w:rPr>
                <w:sz w:val="20"/>
                <w:szCs w:val="20"/>
                <w:color w:val="auto"/>
              </w:rPr>
            </w:pPr>
            <w:r>
              <w:rPr>
                <w:rFonts w:ascii="Times New Roman" w:cs="Times New Roman" w:eastAsia="Times New Roman" w:hAnsi="Times New Roman"/>
                <w:sz w:val="18"/>
                <w:szCs w:val="18"/>
                <w:color w:val="auto"/>
              </w:rPr>
              <w:t>Rule 12h-3(b)(1)(i)</w:t>
            </w:r>
          </w:p>
        </w:tc>
        <w:tc>
          <w:tcPr>
            <w:tcW w:w="760" w:type="dxa"/>
            <w:vAlign w:val="bottom"/>
          </w:tcPr>
          <w:p>
            <w:pPr>
              <w:ind w:left="6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10480" w:type="dxa"/>
            <w:vAlign w:val="bottom"/>
          </w:tcPr>
          <w:p>
            <w:pPr>
              <w:spacing w:after="0"/>
              <w:rPr>
                <w:sz w:val="20"/>
                <w:szCs w:val="20"/>
                <w:color w:val="auto"/>
              </w:rPr>
            </w:pPr>
            <w:r>
              <w:rPr>
                <w:rFonts w:ascii="Times New Roman" w:cs="Times New Roman" w:eastAsia="Times New Roman" w:hAnsi="Times New Roman"/>
                <w:sz w:val="18"/>
                <w:szCs w:val="18"/>
                <w:color w:val="auto"/>
              </w:rPr>
              <w:t>Rule 12h-3(b)(1)(ii)</w:t>
            </w:r>
          </w:p>
        </w:tc>
        <w:tc>
          <w:tcPr>
            <w:tcW w:w="760" w:type="dxa"/>
            <w:vAlign w:val="bottom"/>
          </w:tcPr>
          <w:p>
            <w:pPr>
              <w:ind w:left="6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10480" w:type="dxa"/>
            <w:vAlign w:val="bottom"/>
          </w:tcPr>
          <w:p>
            <w:pPr>
              <w:spacing w:after="0"/>
              <w:rPr>
                <w:sz w:val="20"/>
                <w:szCs w:val="20"/>
                <w:color w:val="auto"/>
              </w:rPr>
            </w:pPr>
            <w:r>
              <w:rPr>
                <w:rFonts w:ascii="Times New Roman" w:cs="Times New Roman" w:eastAsia="Times New Roman" w:hAnsi="Times New Roman"/>
                <w:sz w:val="18"/>
                <w:szCs w:val="18"/>
                <w:color w:val="auto"/>
              </w:rPr>
              <w:t>Rule 15d-6</w:t>
            </w:r>
          </w:p>
        </w:tc>
        <w:tc>
          <w:tcPr>
            <w:tcW w:w="760" w:type="dxa"/>
            <w:vAlign w:val="bottom"/>
          </w:tcPr>
          <w:p>
            <w:pPr>
              <w:ind w:left="6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99"/>
        </w:trPr>
        <w:tc>
          <w:tcPr>
            <w:tcW w:w="10480" w:type="dxa"/>
            <w:vAlign w:val="bottom"/>
          </w:tcPr>
          <w:p>
            <w:pPr>
              <w:spacing w:after="0"/>
              <w:rPr>
                <w:sz w:val="20"/>
                <w:szCs w:val="20"/>
                <w:color w:val="auto"/>
              </w:rPr>
            </w:pPr>
            <w:r>
              <w:rPr>
                <w:rFonts w:ascii="Times New Roman" w:cs="Times New Roman" w:eastAsia="Times New Roman" w:hAnsi="Times New Roman"/>
                <w:sz w:val="18"/>
                <w:szCs w:val="18"/>
                <w:color w:val="auto"/>
              </w:rPr>
              <w:t>Approximate number of holders of record as of the certification or notice date:</w:t>
            </w:r>
          </w:p>
        </w:tc>
        <w:tc>
          <w:tcPr>
            <w:tcW w:w="760" w:type="dxa"/>
            <w:vAlign w:val="bottom"/>
          </w:tcPr>
          <w:p>
            <w:pPr>
              <w:spacing w:after="0"/>
              <w:rPr>
                <w:sz w:val="24"/>
                <w:szCs w:val="24"/>
                <w:color w:val="auto"/>
              </w:rPr>
            </w:pPr>
          </w:p>
        </w:tc>
      </w:tr>
      <w:tr>
        <w:trPr>
          <w:trHeight w:val="432"/>
        </w:trPr>
        <w:tc>
          <w:tcPr>
            <w:tcW w:w="10480" w:type="dxa"/>
            <w:vAlign w:val="bottom"/>
          </w:tcPr>
          <w:p>
            <w:pPr>
              <w:spacing w:after="0"/>
              <w:rPr>
                <w:sz w:val="20"/>
                <w:szCs w:val="20"/>
                <w:color w:val="auto"/>
              </w:rPr>
            </w:pPr>
            <w:r>
              <w:rPr>
                <w:rFonts w:ascii="Times New Roman" w:cs="Times New Roman" w:eastAsia="Times New Roman" w:hAnsi="Times New Roman"/>
                <w:sz w:val="18"/>
                <w:szCs w:val="18"/>
                <w:color w:val="auto"/>
              </w:rPr>
              <w:t>Common shares, par value €0.10 per share: 0</w:t>
            </w:r>
          </w:p>
        </w:tc>
        <w:tc>
          <w:tcPr>
            <w:tcW w:w="760" w:type="dxa"/>
            <w:vAlign w:val="bottom"/>
          </w:tcPr>
          <w:p>
            <w:pPr>
              <w:spacing w:after="0"/>
              <w:rPr>
                <w:sz w:val="24"/>
                <w:szCs w:val="24"/>
                <w:color w:val="auto"/>
              </w:rPr>
            </w:pPr>
          </w:p>
        </w:tc>
      </w:tr>
      <w:tr>
        <w:trPr>
          <w:trHeight w:val="297"/>
        </w:trPr>
        <w:tc>
          <w:tcPr>
            <w:tcW w:w="104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r>
      <w:tr>
        <w:trPr>
          <w:trHeight w:val="163"/>
        </w:trPr>
        <w:tc>
          <w:tcPr>
            <w:tcW w:w="104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r>
      <w:tr>
        <w:trPr>
          <w:trHeight w:val="196"/>
        </w:trPr>
        <w:tc>
          <w:tcPr>
            <w:tcW w:w="104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r>
    </w:tbl>
    <w:p>
      <w:pPr>
        <w:sectPr>
          <w:pgSz w:w="11900" w:h="16838" w:orient="portrait"/>
          <w:cols w:equalWidth="0" w:num="1">
            <w:col w:w="11240"/>
          </w:cols>
          <w:pgMar w:left="320" w:top="516" w:right="339" w:bottom="1440" w:gutter="0" w:footer="0" w:header="0"/>
        </w:sectPr>
      </w:pPr>
    </w:p>
    <w:bookmarkStart w:id="1" w:name="page2"/>
    <w:bookmarkEnd w:id="1"/>
    <w:p>
      <w:pPr>
        <w:spacing w:after="0" w:line="266" w:lineRule="auto"/>
        <w:rPr>
          <w:sz w:val="20"/>
          <w:szCs w:val="20"/>
          <w:color w:val="auto"/>
        </w:rPr>
      </w:pPr>
      <w:r>
        <w:rPr>
          <w:rFonts w:ascii="Times New Roman" w:cs="Times New Roman" w:eastAsia="Times New Roman" w:hAnsi="Times New Roman"/>
          <w:sz w:val="18"/>
          <w:szCs w:val="18"/>
          <w:color w:val="auto"/>
        </w:rPr>
        <w:t>Explanatory Note: On December 30, 2025, Atai Beckley N.V. merged with and into atai Life Sciences Luxembourg S.A. (the “Surviving Company”), with the Surviving Company surviving the merger and thereafter converting into a Delaware corporation (the “Delaware Conversion”). At the effective time of the Delaware Conversion, the Surviving Company changed its name to AtaiBeckley Inc.</w:t>
      </w:r>
    </w:p>
    <w:p>
      <w:pPr>
        <w:spacing w:after="0" w:line="176"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AtaiBeckley Inc. (formerly atai Life Sciences Luxembourg S.A.), as successor by merger to Atai Beckley N.V., has caused this certification/notice to be signed on its behalf by the undersigned duly authorized person.</w:t>
      </w:r>
    </w:p>
    <w:p>
      <w:pPr>
        <w:spacing w:after="0" w:line="15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ATAIBECKLEY INC.</w:t>
      </w:r>
    </w:p>
    <w:p>
      <w:pPr>
        <w:spacing w:after="0" w:line="3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(as successor by merger to Atai Beckley N.V.)</w:t>
      </w:r>
    </w:p>
    <w:p>
      <w:pPr>
        <w:spacing w:after="0" w:line="207" w:lineRule="exact"/>
        <w:rPr>
          <w:sz w:val="20"/>
          <w:szCs w:val="20"/>
          <w:color w:val="auto"/>
        </w:rPr>
      </w:pPr>
    </w:p>
    <w:p>
      <w:pPr>
        <w:spacing w:after="0"/>
        <w:tabs>
          <w:tab w:leader="none" w:pos="4480" w:val="left"/>
          <w:tab w:leader="none" w:pos="5160" w:val="left"/>
        </w:tabs>
        <w:rPr>
          <w:sz w:val="20"/>
          <w:szCs w:val="20"/>
          <w:color w:val="auto"/>
        </w:rPr>
      </w:pPr>
      <w:r>
        <w:rPr>
          <w:rFonts w:ascii="Times New Roman" w:cs="Times New Roman" w:eastAsia="Times New Roman" w:hAnsi="Times New Roman"/>
          <w:sz w:val="18"/>
          <w:szCs w:val="18"/>
          <w:color w:val="auto"/>
        </w:rPr>
        <w:t>Date: December 30,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Ryan Barrett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17145</wp:posOffset>
            </wp:positionV>
            <wp:extent cx="391731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917315" cy="17145"/>
                    </a:xfrm>
                    <a:prstGeom prst="rect">
                      <a:avLst/>
                    </a:prstGeom>
                    <a:noFill/>
                  </pic:spPr>
                </pic:pic>
              </a:graphicData>
            </a:graphic>
          </wp:anchor>
        </w:drawing>
      </w:r>
    </w:p>
    <w:p>
      <w:pPr>
        <w:spacing w:after="0" w:line="21"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Ryan Barrett</w:t>
      </w:r>
    </w:p>
    <w:p>
      <w:pPr>
        <w:spacing w:after="0" w:line="23"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Chief Legal and Business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00"/>
      </w:cols>
      <w:pgMar w:left="320" w:top="12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2025-12-31T05:11:21Z</dcterms:created>
  <dcterms:modified xsi:type="dcterms:W3CDTF">2025-12-31T05:11:21Z</dcterms:modified>
</cp:coreProperties>
</file>